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DC65B4" w:rsidRDefault="00530A04" w:rsidP="00185DBA">
      <w:pPr>
        <w:spacing w:after="20"/>
        <w:ind w:firstLine="720"/>
        <w:jc w:val="center"/>
        <w:rPr>
          <w:rFonts w:ascii="Tahoma" w:hAnsi="Tahoma" w:cs="Tahoma"/>
          <w:b/>
          <w:i/>
          <w:sz w:val="32"/>
          <w:szCs w:val="32"/>
          <w:lang w:val="it-IT"/>
        </w:rPr>
      </w:pPr>
      <w:bookmarkStart w:id="0" w:name="_Toc125170279"/>
      <w:bookmarkStart w:id="1" w:name="_GoBack"/>
      <w:bookmarkEnd w:id="0"/>
      <w:bookmarkEnd w:id="1"/>
      <w:r w:rsidRPr="0002287B">
        <w:rPr>
          <w:rFonts w:ascii="Tahoma" w:hAnsi="Tahoma" w:cs="Tahoma"/>
          <w:i/>
          <w:sz w:val="28"/>
          <w:lang w:val="it-IT"/>
        </w:rPr>
        <w:t xml:space="preserve">Contratto di Distribuzione, di Licenza e Royalty Independent Software Vendor </w:t>
      </w:r>
      <w:r w:rsidR="0002287B" w:rsidRPr="0002287B">
        <w:rPr>
          <w:rFonts w:ascii="Tahoma" w:hAnsi="Tahoma" w:cs="Tahoma"/>
          <w:i/>
          <w:sz w:val="28"/>
          <w:lang w:val="it-IT"/>
        </w:rPr>
        <w:br/>
      </w:r>
      <w:r w:rsidRPr="0002287B">
        <w:rPr>
          <w:rFonts w:ascii="Tahoma" w:hAnsi="Tahoma" w:cs="Tahoma"/>
          <w:b/>
          <w:i/>
          <w:sz w:val="32"/>
          <w:lang w:val="it-IT"/>
        </w:rPr>
        <w:t>LISTA DEI PRODOTTI ISVR</w:t>
      </w:r>
    </w:p>
    <w:p w:rsidR="00F673DB" w:rsidRPr="00DC65B4" w:rsidRDefault="00530A04">
      <w:pPr>
        <w:pStyle w:val="Firstpara"/>
        <w:ind w:left="0"/>
        <w:jc w:val="both"/>
        <w:rPr>
          <w:rFonts w:ascii="Tahoma" w:hAnsi="Tahoma" w:cs="Tahoma"/>
          <w:lang w:val="it-IT"/>
        </w:rPr>
      </w:pPr>
      <w:r w:rsidRPr="0002287B">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8E4F28" w:rsidRPr="0002287B">
        <w:rPr>
          <w:rFonts w:ascii="Tahoma" w:hAnsi="Tahoma" w:cs="Tahoma"/>
          <w:lang w:val="it-IT"/>
        </w:rPr>
        <w:t>“</w:t>
      </w:r>
      <w:r w:rsidRPr="0002287B">
        <w:rPr>
          <w:rFonts w:ascii="Tahoma" w:hAnsi="Tahoma" w:cs="Tahoma"/>
          <w:lang w:val="it-IT"/>
        </w:rPr>
        <w:t>Contratto</w:t>
      </w:r>
      <w:r w:rsidR="008E4F28" w:rsidRPr="0002287B">
        <w:rPr>
          <w:rFonts w:ascii="Tahoma" w:hAnsi="Tahoma" w:cs="Tahoma"/>
          <w:lang w:val="it-IT"/>
        </w:rPr>
        <w:t>”</w:t>
      </w:r>
      <w:r w:rsidRPr="0002287B">
        <w:rPr>
          <w:rFonts w:ascii="Tahoma" w:hAnsi="Tahoma" w:cs="Tahoma"/>
          <w:lang w:val="it-IT"/>
        </w:rPr>
        <w:t xml:space="preserve">) o nel Contratto di Distribuzione, di Licenza e Royalty Microsoft Academic ISV (il </w:t>
      </w:r>
      <w:r w:rsidR="008E4F28" w:rsidRPr="0002287B">
        <w:rPr>
          <w:rFonts w:ascii="Tahoma" w:hAnsi="Tahoma" w:cs="Tahoma"/>
          <w:lang w:val="it-IT"/>
        </w:rPr>
        <w:t>“</w:t>
      </w:r>
      <w:r w:rsidRPr="0002287B">
        <w:rPr>
          <w:rFonts w:ascii="Tahoma" w:hAnsi="Tahoma" w:cs="Tahoma"/>
          <w:lang w:val="it-IT"/>
        </w:rPr>
        <w:t>Contratto Academic</w:t>
      </w:r>
      <w:r w:rsidR="008E4F28" w:rsidRPr="0002287B">
        <w:rPr>
          <w:rFonts w:ascii="Tahoma" w:hAnsi="Tahoma" w:cs="Tahoma"/>
          <w:lang w:val="it-IT"/>
        </w:rPr>
        <w:t>”</w:t>
      </w:r>
      <w:r w:rsidRPr="0002287B">
        <w:rPr>
          <w:rFonts w:ascii="Tahoma" w:hAnsi="Tahoma" w:cs="Tahoma"/>
          <w:lang w:val="it-IT"/>
        </w:rPr>
        <w:t>).</w:t>
      </w:r>
    </w:p>
    <w:p w:rsidR="00F673DB" w:rsidRPr="00DC65B4" w:rsidRDefault="00F673DB">
      <w:pPr>
        <w:pStyle w:val="Firstpara"/>
        <w:ind w:left="0"/>
        <w:jc w:val="both"/>
        <w:rPr>
          <w:rFonts w:ascii="Tahoma" w:hAnsi="Tahoma" w:cs="Tahoma"/>
          <w:lang w:val="it-IT"/>
        </w:rPr>
      </w:pPr>
    </w:p>
    <w:p w:rsidR="009F731B" w:rsidRPr="00DC65B4" w:rsidRDefault="009F731B" w:rsidP="00F673DB">
      <w:pPr>
        <w:jc w:val="center"/>
        <w:rPr>
          <w:rStyle w:val="Hyperlink"/>
          <w:rFonts w:ascii="Tahoma" w:hAnsi="Tahoma" w:cs="Tahoma"/>
          <w:b/>
          <w:bCs/>
          <w:i/>
          <w:iCs/>
          <w:color w:val="auto"/>
          <w:sz w:val="19"/>
          <w:szCs w:val="19"/>
          <w:u w:val="none"/>
          <w:lang w:val="it-IT"/>
        </w:rPr>
      </w:pPr>
    </w:p>
    <w:p w:rsidR="00D26BFF" w:rsidRPr="00DC65B4" w:rsidRDefault="0023150F" w:rsidP="00D26BFF">
      <w:pPr>
        <w:pStyle w:val="Heading2"/>
        <w:keepNext w:val="0"/>
        <w:spacing w:after="0"/>
        <w:rPr>
          <w:rStyle w:val="Hyperlink"/>
          <w:rFonts w:ascii="Tahoma" w:hAnsi="Tahoma" w:cs="Tahoma"/>
          <w:bCs/>
          <w:i/>
          <w:iCs/>
          <w:color w:val="E36C0A"/>
          <w:sz w:val="19"/>
          <w:szCs w:val="19"/>
          <w:lang w:val="it-IT" w:eastAsia="x-none"/>
        </w:rPr>
      </w:pPr>
      <w:r w:rsidRPr="0002287B">
        <w:rPr>
          <w:rFonts w:ascii="Tahoma" w:hAnsi="Tahoma" w:cs="Tahoma"/>
          <w:color w:val="FF6600"/>
          <w:sz w:val="24"/>
          <w:lang w:val="it-IT"/>
        </w:rPr>
        <w:t xml:space="preserve">Modifiche Apportate alla Lista dei Prodotti ISVR nel Mese di </w:t>
      </w:r>
      <w:r w:rsidR="00DC65B4">
        <w:rPr>
          <w:rFonts w:ascii="Tahoma" w:hAnsi="Tahoma" w:cs="Tahoma"/>
          <w:color w:val="FF6600"/>
          <w:sz w:val="24"/>
          <w:lang w:val="it-IT"/>
        </w:rPr>
        <w:t>Gennaio</w:t>
      </w:r>
      <w:r w:rsidRPr="0002287B">
        <w:rPr>
          <w:rFonts w:ascii="Tahoma" w:hAnsi="Tahoma" w:cs="Tahoma"/>
          <w:color w:val="FF6600"/>
          <w:sz w:val="24"/>
          <w:lang w:val="it-IT"/>
        </w:rPr>
        <w:t xml:space="preserve"> 201</w:t>
      </w:r>
      <w:r w:rsidR="00DC65B4">
        <w:rPr>
          <w:rFonts w:ascii="Tahoma" w:hAnsi="Tahoma" w:cs="Tahoma"/>
          <w:color w:val="FF6600"/>
          <w:sz w:val="24"/>
          <w:lang w:val="it-IT"/>
        </w:rPr>
        <w:t>3</w:t>
      </w:r>
    </w:p>
    <w:p w:rsidR="00D26BFF" w:rsidRPr="00DC65B4" w:rsidRDefault="00D26BFF" w:rsidP="00D26BFF">
      <w:pPr>
        <w:rPr>
          <w:rFonts w:ascii="Tahoma" w:hAnsi="Tahoma" w:cs="Tahoma"/>
          <w:lang w:val="it-I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402CFD"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DC65B4" w:rsidRDefault="00D26BFF">
            <w:pPr>
              <w:jc w:val="center"/>
              <w:rPr>
                <w:rFonts w:ascii="Tahoma" w:hAnsi="Tahoma" w:cs="Tahoma"/>
                <w:b/>
                <w:bCs/>
                <w:iCs/>
                <w:color w:val="FFFFFF"/>
                <w:lang w:val="it-IT"/>
              </w:rPr>
            </w:pPr>
            <w:r w:rsidRPr="0002287B">
              <w:rPr>
                <w:rFonts w:ascii="Tahoma" w:hAnsi="Tahoma" w:cs="Tahoma"/>
                <w:b/>
                <w:bCs/>
                <w:iCs/>
                <w:color w:val="FFFFFF"/>
                <w:lang w:val="it-IT"/>
              </w:rPr>
              <w:t>Contratto di Licenza Microsoft Aggiunto</w:t>
            </w:r>
          </w:p>
        </w:tc>
        <w:tc>
          <w:tcPr>
            <w:tcW w:w="5778" w:type="dxa"/>
            <w:tcBorders>
              <w:top w:val="single" w:sz="8" w:space="0" w:color="F79646"/>
              <w:left w:val="single" w:sz="4" w:space="0" w:color="F79646"/>
              <w:bottom w:val="single" w:sz="8" w:space="0" w:color="F79646"/>
            </w:tcBorders>
            <w:shd w:val="clear" w:color="auto" w:fill="F79646"/>
          </w:tcPr>
          <w:p w:rsidR="00D26BFF" w:rsidRPr="00DC65B4" w:rsidRDefault="00D26BFF">
            <w:pPr>
              <w:jc w:val="center"/>
              <w:rPr>
                <w:rFonts w:ascii="Tahoma" w:hAnsi="Tahoma" w:cs="Tahoma"/>
                <w:b/>
                <w:bCs/>
                <w:iCs/>
                <w:color w:val="FFFFFF"/>
                <w:lang w:val="it-IT"/>
              </w:rPr>
            </w:pPr>
            <w:r w:rsidRPr="0002287B">
              <w:rPr>
                <w:rFonts w:ascii="Tahoma" w:hAnsi="Tahoma" w:cs="Tahoma"/>
                <w:b/>
                <w:bCs/>
                <w:iCs/>
                <w:color w:val="FFFFFF"/>
                <w:lang w:val="it-IT"/>
              </w:rPr>
              <w:t>Contratto di Licenza Microsoft Eliminato</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402CFD" w:rsidRDefault="00402CFD" w:rsidP="00D26BFF">
            <w:pPr>
              <w:rPr>
                <w:rFonts w:ascii="Tahoma" w:hAnsi="Tahoma" w:cs="Tahoma"/>
                <w:bCs/>
                <w:sz w:val="16"/>
                <w:szCs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Server 201</w:t>
            </w:r>
            <w:r>
              <w:rPr>
                <w:rFonts w:ascii="Tahoma" w:hAnsi="Tahoma" w:cs="Tahoma"/>
                <w:sz w:val="16"/>
                <w:lang w:val="it-IT"/>
              </w:rPr>
              <w:t>3</w:t>
            </w:r>
          </w:p>
        </w:tc>
        <w:tc>
          <w:tcPr>
            <w:tcW w:w="5778" w:type="dxa"/>
            <w:tcBorders>
              <w:top w:val="single" w:sz="8" w:space="0" w:color="F79646"/>
              <w:left w:val="single" w:sz="4" w:space="0" w:color="F79646"/>
              <w:bottom w:val="single" w:sz="8" w:space="0" w:color="F79646"/>
            </w:tcBorders>
            <w:vAlign w:val="center"/>
          </w:tcPr>
          <w:p w:rsidR="00724F27" w:rsidRPr="00DC65B4" w:rsidDel="00524CDF" w:rsidRDefault="00DC65B4" w:rsidP="00C91610">
            <w:pPr>
              <w:rPr>
                <w:rFonts w:ascii="Tahoma" w:hAnsi="Tahoma" w:cs="Tahoma"/>
                <w:bCs/>
                <w:sz w:val="16"/>
                <w:szCs w:val="16"/>
              </w:rPr>
            </w:pPr>
            <w:r w:rsidRPr="00DC65B4">
              <w:rPr>
                <w:rFonts w:ascii="Tahoma" w:hAnsi="Tahoma" w:cs="Tahoma"/>
                <w:sz w:val="16"/>
              </w:rPr>
              <w:t>Microsoft</w:t>
            </w:r>
            <w:r w:rsidRPr="00DC65B4">
              <w:rPr>
                <w:rFonts w:ascii="Tahoma" w:hAnsi="Tahoma" w:cs="Tahoma"/>
                <w:sz w:val="16"/>
                <w:vertAlign w:val="superscript"/>
              </w:rPr>
              <w:t>®</w:t>
            </w:r>
            <w:r w:rsidRPr="00DC65B4">
              <w:rPr>
                <w:rFonts w:ascii="Tahoma" w:hAnsi="Tahoma" w:cs="Tahoma"/>
                <w:sz w:val="16"/>
              </w:rPr>
              <w:t xml:space="preserve"> Forefront</w:t>
            </w:r>
            <w:r w:rsidRPr="00DC65B4">
              <w:rPr>
                <w:rFonts w:ascii="Tahoma" w:hAnsi="Tahoma" w:cs="Tahoma"/>
                <w:sz w:val="16"/>
                <w:vertAlign w:val="superscript"/>
              </w:rPr>
              <w:t>®</w:t>
            </w:r>
            <w:r w:rsidRPr="00DC65B4">
              <w:rPr>
                <w:rFonts w:ascii="Tahoma" w:hAnsi="Tahoma" w:cs="Tahoma"/>
                <w:sz w:val="16"/>
              </w:rPr>
              <w:t xml:space="preserve"> Threat Management Gateway 2010, </w:t>
            </w:r>
            <w:proofErr w:type="spellStart"/>
            <w:r w:rsidRPr="00DC65B4">
              <w:rPr>
                <w:rFonts w:ascii="Tahoma" w:hAnsi="Tahoma" w:cs="Tahoma"/>
                <w:sz w:val="16"/>
              </w:rPr>
              <w:t>Edizioni</w:t>
            </w:r>
            <w:proofErr w:type="spellEnd"/>
            <w:r w:rsidRPr="00DC65B4">
              <w:rPr>
                <w:rFonts w:ascii="Tahoma" w:hAnsi="Tahoma" w:cs="Tahoma"/>
                <w:sz w:val="16"/>
              </w:rPr>
              <w:t xml:space="preserve"> Standard </w:t>
            </w:r>
            <w:proofErr w:type="spellStart"/>
            <w:r w:rsidRPr="00DC65B4">
              <w:rPr>
                <w:rFonts w:ascii="Tahoma" w:hAnsi="Tahoma" w:cs="Tahoma"/>
                <w:sz w:val="16"/>
              </w:rPr>
              <w:t>ed</w:t>
            </w:r>
            <w:proofErr w:type="spellEnd"/>
            <w:r w:rsidRPr="00DC65B4">
              <w:rPr>
                <w:rFonts w:ascii="Tahoma" w:hAnsi="Tahoma" w:cs="Tahoma"/>
                <w:sz w:val="16"/>
              </w:rPr>
              <w:t xml:space="preserve"> Enterprise</w:t>
            </w:r>
          </w:p>
        </w:tc>
      </w:tr>
      <w:tr w:rsidR="00724F27" w:rsidRPr="00DC65B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DC65B4" w:rsidRDefault="00724F27"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724F27" w:rsidRPr="00DC65B4" w:rsidDel="00524CDF" w:rsidRDefault="00DC65B4" w:rsidP="00C91610">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Mobile Device Manager 2008</w:t>
            </w:r>
          </w:p>
        </w:tc>
      </w:tr>
      <w:tr w:rsidR="00402CFD" w:rsidRPr="00DC65B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402CFD" w:rsidRPr="00DC65B4" w:rsidRDefault="00402CF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402CFD" w:rsidRPr="0002287B" w:rsidRDefault="00402CFD" w:rsidP="00C91610">
            <w:pPr>
              <w:rPr>
                <w:rFonts w:ascii="Tahoma" w:hAnsi="Tahoma" w:cs="Tahoma"/>
                <w:sz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Server 2010</w:t>
            </w:r>
          </w:p>
        </w:tc>
      </w:tr>
    </w:tbl>
    <w:p w:rsidR="00D26BFF" w:rsidRPr="0002287B"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402CFD"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DC65B4" w:rsidRDefault="00530A04">
            <w:pPr>
              <w:jc w:val="center"/>
              <w:rPr>
                <w:rFonts w:ascii="Tahoma" w:hAnsi="Tahoma" w:cs="Tahoma"/>
                <w:b/>
                <w:bCs/>
                <w:color w:val="FFFFFF"/>
                <w:sz w:val="18"/>
                <w:szCs w:val="18"/>
                <w:lang w:val="it-IT"/>
              </w:rPr>
            </w:pPr>
            <w:r w:rsidRPr="0002287B">
              <w:rPr>
                <w:rFonts w:ascii="Tahoma" w:hAnsi="Tahoma" w:cs="Tahoma"/>
                <w:b/>
                <w:color w:val="FFFFFF"/>
                <w:lang w:val="it-IT"/>
              </w:rPr>
              <w:t>Contratto di Licenza Microsoft Modificato</w:t>
            </w:r>
          </w:p>
        </w:tc>
      </w:tr>
    </w:tbl>
    <w:p w:rsidR="00F038FE" w:rsidRPr="00402CFD" w:rsidRDefault="00D63435">
      <w:pPr>
        <w:rPr>
          <w:rFonts w:ascii="Tahoma" w:hAnsi="Tahoma" w:cs="Tahoma"/>
          <w:b/>
          <w:bCs/>
          <w:lang w:val="it-IT"/>
        </w:rPr>
      </w:pPr>
      <w:r w:rsidRPr="00402CFD">
        <w:rPr>
          <w:rFonts w:ascii="Tahoma" w:hAnsi="Tahoma" w:cs="Tahoma"/>
          <w:b/>
          <w:bCs/>
          <w:lang w:val="it-IT"/>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308"/>
        <w:gridCol w:w="1890"/>
        <w:gridCol w:w="450"/>
        <w:gridCol w:w="450"/>
        <w:gridCol w:w="450"/>
        <w:gridCol w:w="450"/>
      </w:tblGrid>
      <w:tr w:rsidR="00DE25DE" w:rsidRPr="00402CFD" w:rsidTr="0002287B">
        <w:tc>
          <w:tcPr>
            <w:tcW w:w="7308" w:type="dxa"/>
            <w:vMerge w:val="restart"/>
            <w:tcBorders>
              <w:top w:val="nil"/>
              <w:left w:val="nil"/>
              <w:right w:val="single" w:sz="8" w:space="0" w:color="F79646"/>
            </w:tcBorders>
            <w:vAlign w:val="center"/>
          </w:tcPr>
          <w:p w:rsidR="00DE25DE" w:rsidRPr="0002287B" w:rsidRDefault="00530A04" w:rsidP="00A755E0">
            <w:pPr>
              <w:rPr>
                <w:rStyle w:val="Hyperlink"/>
                <w:rFonts w:ascii="Tahoma" w:hAnsi="Tahoma" w:cs="Tahoma"/>
                <w:bCs/>
                <w:i/>
                <w:iCs/>
                <w:color w:val="auto"/>
                <w:sz w:val="16"/>
                <w:szCs w:val="16"/>
                <w:u w:val="none"/>
                <w:lang w:val="pt-BR"/>
              </w:rPr>
            </w:pPr>
            <w:r w:rsidRPr="0002287B">
              <w:rPr>
                <w:rFonts w:ascii="Tahoma" w:hAnsi="Tahoma" w:cs="Tahoma"/>
                <w:b/>
                <w:color w:val="FF6600"/>
                <w:sz w:val="24"/>
                <w:lang w:val="it-IT"/>
              </w:rPr>
              <w:lastRenderedPageBreak/>
              <w:t>Lista dei Prodotti*</w:t>
            </w:r>
          </w:p>
        </w:tc>
        <w:tc>
          <w:tcPr>
            <w:tcW w:w="369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DC65B4" w:rsidRDefault="00530A04" w:rsidP="00B017CA">
            <w:pPr>
              <w:jc w:val="right"/>
              <w:rPr>
                <w:rStyle w:val="Hyperlink"/>
                <w:rFonts w:ascii="Tahoma" w:hAnsi="Tahoma" w:cs="Tahoma"/>
                <w:b/>
                <w:bCs/>
                <w:i/>
                <w:iCs/>
                <w:color w:val="auto"/>
                <w:sz w:val="16"/>
                <w:szCs w:val="16"/>
                <w:u w:val="none"/>
                <w:lang w:val="it-IT"/>
              </w:rPr>
            </w:pPr>
            <w:r w:rsidRPr="0002287B">
              <w:rPr>
                <w:rFonts w:ascii="Tahoma" w:hAnsi="Tahoma" w:cs="Tahoma"/>
                <w:b/>
                <w:color w:val="000000"/>
                <w:sz w:val="16"/>
                <w:lang w:val="it-IT"/>
              </w:rPr>
              <w:t xml:space="preserve">D) Informazioni sul Codice </w:t>
            </w:r>
            <w:r w:rsidR="008E4F28" w:rsidRPr="0002287B">
              <w:rPr>
                <w:rFonts w:ascii="Tahoma" w:hAnsi="Tahoma" w:cs="Tahoma"/>
                <w:b/>
                <w:color w:val="000000"/>
                <w:sz w:val="16"/>
                <w:lang w:val="it-IT"/>
              </w:rPr>
              <w:t>“</w:t>
            </w:r>
            <w:r w:rsidRPr="0002287B">
              <w:rPr>
                <w:rFonts w:ascii="Tahoma" w:hAnsi="Tahoma" w:cs="Tahoma"/>
                <w:b/>
                <w:color w:val="000000"/>
                <w:sz w:val="16"/>
                <w:lang w:val="it-IT"/>
              </w:rPr>
              <w:t>Product Key</w:t>
            </w:r>
            <w:r w:rsidR="008E4F28" w:rsidRPr="0002287B">
              <w:rPr>
                <w:rFonts w:ascii="Tahoma" w:hAnsi="Tahoma" w:cs="Tahoma"/>
                <w:b/>
                <w:color w:val="000000"/>
                <w:sz w:val="16"/>
                <w:lang w:val="it-IT"/>
              </w:rPr>
              <w:t>”</w:t>
            </w:r>
          </w:p>
        </w:tc>
      </w:tr>
      <w:tr w:rsidR="00DE25DE" w:rsidRPr="00402CFD" w:rsidTr="0002287B">
        <w:tc>
          <w:tcPr>
            <w:tcW w:w="7308" w:type="dxa"/>
            <w:vMerge/>
            <w:tcBorders>
              <w:left w:val="nil"/>
              <w:right w:val="single" w:sz="8" w:space="0" w:color="F79646"/>
            </w:tcBorders>
          </w:tcPr>
          <w:p w:rsidR="00DE25DE" w:rsidRPr="00DC65B4" w:rsidRDefault="00DE25DE" w:rsidP="00DE25DE">
            <w:pPr>
              <w:jc w:val="right"/>
              <w:rPr>
                <w:rStyle w:val="Hyperlink"/>
                <w:rFonts w:ascii="Tahoma" w:hAnsi="Tahoma" w:cs="Tahoma"/>
                <w:bCs/>
                <w:i/>
                <w:iCs/>
                <w:color w:val="auto"/>
                <w:sz w:val="16"/>
                <w:szCs w:val="16"/>
                <w:u w:val="none"/>
                <w:lang w:val="it-IT"/>
              </w:rPr>
            </w:pPr>
          </w:p>
        </w:tc>
        <w:tc>
          <w:tcPr>
            <w:tcW w:w="324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DC65B4" w:rsidRDefault="00530A04" w:rsidP="009C4106">
            <w:pPr>
              <w:jc w:val="right"/>
              <w:rPr>
                <w:rStyle w:val="Hyperlink"/>
                <w:rFonts w:ascii="Tahoma" w:hAnsi="Tahoma" w:cs="Tahoma"/>
                <w:b/>
                <w:bCs/>
                <w:i/>
                <w:iCs/>
                <w:color w:val="auto"/>
                <w:sz w:val="16"/>
                <w:szCs w:val="16"/>
                <w:u w:val="none"/>
                <w:lang w:val="it-IT"/>
              </w:rPr>
            </w:pPr>
            <w:r w:rsidRPr="0002287B">
              <w:rPr>
                <w:rFonts w:ascii="Tahoma" w:hAnsi="Tahoma" w:cs="Tahoma"/>
                <w:b/>
                <w:color w:val="000000"/>
                <w:sz w:val="16"/>
                <w:lang w:val="it-IT"/>
              </w:rPr>
              <w:t xml:space="preserve">C) Concessioni per la Migrazione </w:t>
            </w:r>
            <w:r w:rsidR="0002287B">
              <w:rPr>
                <w:rFonts w:ascii="Tahoma" w:hAnsi="Tahoma" w:cs="Tahoma"/>
                <w:b/>
                <w:color w:val="000000"/>
                <w:sz w:val="16"/>
                <w:lang w:val="it-IT"/>
              </w:rPr>
              <w:br/>
            </w:r>
            <w:r w:rsidRPr="0002287B">
              <w:rPr>
                <w:rFonts w:ascii="Tahoma" w:hAnsi="Tahoma" w:cs="Tahoma"/>
                <w:b/>
                <w:color w:val="000000"/>
                <w:sz w:val="16"/>
                <w:lang w:val="it-IT"/>
              </w:rPr>
              <w:t>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C65B4" w:rsidRDefault="00DE25DE" w:rsidP="009C4106">
            <w:pPr>
              <w:jc w:val="right"/>
              <w:rPr>
                <w:rStyle w:val="Hyperlink"/>
                <w:rFonts w:ascii="Tahoma" w:hAnsi="Tahoma" w:cs="Tahoma"/>
                <w:bCs/>
                <w:i/>
                <w:iCs/>
                <w:color w:val="auto"/>
                <w:sz w:val="16"/>
                <w:szCs w:val="16"/>
                <w:u w:val="none"/>
                <w:lang w:val="it-IT"/>
              </w:rPr>
            </w:pPr>
          </w:p>
        </w:tc>
      </w:tr>
      <w:tr w:rsidR="00DE25DE" w:rsidRPr="0002287B" w:rsidTr="0002287B">
        <w:tc>
          <w:tcPr>
            <w:tcW w:w="7308" w:type="dxa"/>
            <w:vMerge/>
            <w:tcBorders>
              <w:left w:val="nil"/>
              <w:right w:val="single" w:sz="8" w:space="0" w:color="F79646"/>
            </w:tcBorders>
          </w:tcPr>
          <w:p w:rsidR="00DE25DE" w:rsidRPr="00DC65B4" w:rsidRDefault="00DE25DE" w:rsidP="00DE25DE">
            <w:pPr>
              <w:jc w:val="right"/>
              <w:rPr>
                <w:rFonts w:ascii="Tahoma" w:hAnsi="Tahoma" w:cs="Tahoma"/>
                <w:bCs/>
                <w:sz w:val="16"/>
                <w:szCs w:val="19"/>
                <w:lang w:val="it-IT"/>
              </w:rPr>
            </w:pPr>
          </w:p>
        </w:tc>
        <w:tc>
          <w:tcPr>
            <w:tcW w:w="279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02287B" w:rsidRDefault="00530A04" w:rsidP="009C4106">
            <w:pPr>
              <w:jc w:val="right"/>
              <w:rPr>
                <w:rFonts w:ascii="Tahoma" w:hAnsi="Tahoma" w:cs="Tahoma"/>
                <w:b/>
                <w:bCs/>
                <w:sz w:val="16"/>
                <w:szCs w:val="19"/>
              </w:rPr>
            </w:pPr>
            <w:r w:rsidRPr="0002287B">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9C4106">
            <w:pPr>
              <w:jc w:val="right"/>
              <w:rPr>
                <w:rStyle w:val="Hyperlink"/>
                <w:rFonts w:ascii="Tahoma" w:hAnsi="Tahoma" w:cs="Tahoma"/>
                <w:bCs/>
                <w:i/>
                <w:iCs/>
                <w:color w:val="auto"/>
                <w:sz w:val="16"/>
                <w:szCs w:val="16"/>
                <w:u w:val="none"/>
                <w:lang w:val="pt-BR"/>
              </w:rPr>
            </w:pPr>
          </w:p>
        </w:tc>
      </w:tr>
      <w:tr w:rsidR="00DE25DE" w:rsidRPr="00402CFD" w:rsidTr="0002287B">
        <w:tc>
          <w:tcPr>
            <w:tcW w:w="7308" w:type="dxa"/>
            <w:vMerge/>
            <w:tcBorders>
              <w:left w:val="nil"/>
              <w:bottom w:val="nil"/>
              <w:right w:val="single" w:sz="8" w:space="0" w:color="F79646"/>
            </w:tcBorders>
          </w:tcPr>
          <w:p w:rsidR="00DE25DE" w:rsidRPr="0002287B" w:rsidRDefault="00DE25DE" w:rsidP="00DE25DE">
            <w:pPr>
              <w:jc w:val="right"/>
              <w:rPr>
                <w:rFonts w:ascii="Tahoma" w:hAnsi="Tahoma" w:cs="Tahoma"/>
                <w:bCs/>
                <w:sz w:val="16"/>
                <w:szCs w:val="19"/>
              </w:rPr>
            </w:pPr>
          </w:p>
        </w:tc>
        <w:tc>
          <w:tcPr>
            <w:tcW w:w="234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DC65B4" w:rsidRDefault="00530A04" w:rsidP="009C4106">
            <w:pPr>
              <w:jc w:val="right"/>
              <w:rPr>
                <w:rFonts w:ascii="Tahoma" w:hAnsi="Tahoma" w:cs="Tahoma"/>
                <w:b/>
                <w:bCs/>
                <w:sz w:val="16"/>
                <w:szCs w:val="19"/>
                <w:lang w:val="it-IT"/>
              </w:rPr>
            </w:pPr>
            <w:r w:rsidRPr="0002287B">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DC65B4" w:rsidRDefault="00DE25DE" w:rsidP="009C4106">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9C4106">
            <w:pPr>
              <w:jc w:val="right"/>
              <w:rPr>
                <w:rStyle w:val="Hyperlink"/>
                <w:rFonts w:ascii="Tahoma" w:hAnsi="Tahoma" w:cs="Tahoma"/>
                <w:bCs/>
                <w:i/>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C65B4" w:rsidRDefault="00DE25DE" w:rsidP="009C4106">
            <w:pPr>
              <w:jc w:val="right"/>
              <w:rPr>
                <w:rStyle w:val="Hyperlink"/>
                <w:rFonts w:ascii="Tahoma" w:hAnsi="Tahoma" w:cs="Tahoma"/>
                <w:bCs/>
                <w:i/>
                <w:iCs/>
                <w:color w:val="auto"/>
                <w:sz w:val="16"/>
                <w:szCs w:val="16"/>
                <w:u w:val="none"/>
                <w:lang w:val="it-IT"/>
              </w:rPr>
            </w:pPr>
          </w:p>
        </w:tc>
      </w:tr>
      <w:tr w:rsidR="00DE25DE" w:rsidRPr="0002287B"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02287B" w:rsidRDefault="00530A04" w:rsidP="0052100B">
            <w:pPr>
              <w:jc w:val="center"/>
              <w:rPr>
                <w:rFonts w:ascii="Tahoma" w:hAnsi="Tahoma" w:cs="Tahoma"/>
                <w:b/>
                <w:bCs/>
                <w:sz w:val="18"/>
                <w:szCs w:val="19"/>
                <w:lang w:val="pt-BR"/>
              </w:rPr>
            </w:pPr>
            <w:r w:rsidRPr="0002287B">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
                <w:iCs/>
                <w:color w:val="auto"/>
                <w:sz w:val="18"/>
                <w:szCs w:val="19"/>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bookmarkStart w:id="2" w:name="OLE_LINK1"/>
            <w:bookmarkStart w:id="3" w:name="OLE_LINK2"/>
            <w:bookmarkEnd w:id="2"/>
            <w:bookmarkEnd w:id="3"/>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Access</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402CFD" w:rsidTr="00134F83">
        <w:tc>
          <w:tcPr>
            <w:tcW w:w="9198" w:type="dxa"/>
            <w:gridSpan w:val="2"/>
            <w:tcBorders>
              <w:top w:val="single" w:sz="8" w:space="0" w:color="F79646"/>
              <w:bottom w:val="single" w:sz="8" w:space="0" w:color="F79646"/>
              <w:right w:val="single" w:sz="4" w:space="0" w:color="F79646"/>
            </w:tcBorders>
            <w:vAlign w:val="center"/>
          </w:tcPr>
          <w:p w:rsidR="00DE25DE" w:rsidRPr="00DC65B4" w:rsidRDefault="0023150F">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r>
      <w:tr w:rsidR="00DE25DE" w:rsidRPr="00402CFD" w:rsidTr="00134F83">
        <w:tc>
          <w:tcPr>
            <w:tcW w:w="9198" w:type="dxa"/>
            <w:gridSpan w:val="2"/>
            <w:tcBorders>
              <w:right w:val="single" w:sz="4" w:space="0" w:color="F79646"/>
            </w:tcBorders>
            <w:vAlign w:val="center"/>
          </w:tcPr>
          <w:p w:rsidR="00DE25DE" w:rsidRPr="00DC65B4" w:rsidRDefault="0023150F">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Enterprise Edition (Utilizzo Limitato del Runtime)</w:t>
            </w:r>
            <w:r w:rsidR="00530A04" w:rsidRPr="00DC65B4">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r>
      <w:tr w:rsidR="00DE25DE" w:rsidRPr="00402CFD" w:rsidTr="00134F83">
        <w:tc>
          <w:tcPr>
            <w:tcW w:w="9198" w:type="dxa"/>
            <w:gridSpan w:val="2"/>
            <w:tcBorders>
              <w:top w:val="single" w:sz="8" w:space="0" w:color="F79646"/>
              <w:bottom w:val="single" w:sz="8" w:space="0" w:color="F79646"/>
              <w:right w:val="single" w:sz="4" w:space="0" w:color="F79646"/>
            </w:tcBorders>
            <w:vAlign w:val="center"/>
          </w:tcPr>
          <w:p w:rsidR="00DE25DE" w:rsidRPr="00DC65B4" w:rsidRDefault="0023150F">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Standard</w:t>
            </w:r>
            <w:r w:rsidRPr="0002287B">
              <w:rPr>
                <w:rFonts w:ascii="Tahoma" w:hAnsi="Tahoma" w:cs="Tahoma"/>
                <w:sz w:val="19"/>
                <w:lang w:val="it-IT"/>
              </w:rPr>
              <w:t xml:space="preserve"> </w:t>
            </w:r>
            <w:r w:rsidRPr="0002287B">
              <w:rPr>
                <w:rFonts w:ascii="Tahoma" w:hAnsi="Tahoma" w:cs="Tahoma"/>
                <w:sz w:val="16"/>
                <w:lang w:val="it-IT"/>
              </w:rPr>
              <w:t>Edition (Utilizzo Limitato del Runtime)</w:t>
            </w:r>
            <w:r w:rsidR="00530A04" w:rsidRPr="00DC65B4">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r>
      <w:tr w:rsidR="00DE25DE" w:rsidRPr="0002287B" w:rsidTr="00134F83">
        <w:tc>
          <w:tcPr>
            <w:tcW w:w="9198" w:type="dxa"/>
            <w:gridSpan w:val="2"/>
            <w:tcBorders>
              <w:right w:val="single" w:sz="4" w:space="0" w:color="F79646"/>
            </w:tcBorders>
            <w:vAlign w:val="center"/>
          </w:tcPr>
          <w:p w:rsidR="00DE25DE" w:rsidRPr="0002287B" w:rsidRDefault="00530A04">
            <w:pPr>
              <w:rPr>
                <w:rFonts w:ascii="Tahoma" w:hAnsi="Tahoma" w:cs="Tahoma"/>
                <w:sz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 xml:space="preserve">® </w:t>
            </w:r>
            <w:r w:rsidRPr="0002287B">
              <w:rPr>
                <w:rFonts w:ascii="Tahoma" w:hAnsi="Tahoma" w:cs="Tahoma"/>
                <w:sz w:val="16"/>
                <w:lang w:val="it-IT"/>
              </w:rPr>
              <w:t>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23150F" w:rsidP="000C510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Excel</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DC65B4" w:rsidRDefault="0023150F" w:rsidP="00BF6321">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Exchange Server 2013, Edizioni Standard ed Enterprise</w:t>
            </w:r>
            <w:r w:rsidR="00530A04" w:rsidRPr="00DC65B4">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Forefront</w:t>
            </w:r>
            <w:r w:rsidRPr="0002287B">
              <w:rPr>
                <w:rFonts w:ascii="Tahoma" w:hAnsi="Tahoma" w:cs="Tahoma"/>
                <w:sz w:val="16"/>
                <w:vertAlign w:val="superscript"/>
                <w:lang w:val="it-IT"/>
              </w:rPr>
              <w:t>®</w:t>
            </w:r>
            <w:r w:rsidRPr="0002287B">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InfoPath</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724F27" w:rsidRPr="00402CFD"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DC65B4" w:rsidRDefault="0023150F" w:rsidP="00565996">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Lync</w:t>
            </w:r>
            <w:r w:rsidRPr="0002287B">
              <w:rPr>
                <w:rFonts w:ascii="Tahoma" w:hAnsi="Tahoma" w:cs="Tahoma"/>
                <w:sz w:val="16"/>
                <w:vertAlign w:val="superscript"/>
                <w:lang w:val="it-IT"/>
              </w:rPr>
              <w:t>®</w:t>
            </w:r>
            <w:r w:rsidRPr="0002287B">
              <w:rPr>
                <w:rFonts w:ascii="Tahoma" w:hAnsi="Tahoma" w:cs="Tahoma"/>
                <w:sz w:val="16"/>
                <w:lang w:val="it-IT"/>
              </w:rPr>
              <w:t xml:space="preserve"> Server 2013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DC65B4"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DC65B4"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DC65B4"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DC65B4" w:rsidRDefault="00724F27" w:rsidP="000D6971">
            <w:pPr>
              <w:jc w:val="center"/>
              <w:rPr>
                <w:rStyle w:val="Hyperlink"/>
                <w:rFonts w:ascii="Tahoma" w:hAnsi="Tahoma" w:cs="Tahoma"/>
                <w:bCs/>
                <w:iCs/>
                <w:color w:val="auto"/>
                <w:sz w:val="16"/>
                <w:szCs w:val="16"/>
                <w:u w:val="none"/>
                <w:lang w:val="it-IT"/>
              </w:rPr>
            </w:pPr>
          </w:p>
        </w:tc>
      </w:tr>
      <w:tr w:rsidR="00DE25DE" w:rsidRPr="0002287B" w:rsidTr="00134F83">
        <w:tc>
          <w:tcPr>
            <w:tcW w:w="9198" w:type="dxa"/>
            <w:gridSpan w:val="2"/>
            <w:tcBorders>
              <w:right w:val="single" w:sz="4" w:space="0" w:color="F79646"/>
            </w:tcBorders>
            <w:vAlign w:val="center"/>
          </w:tcPr>
          <w:p w:rsidR="00DE25DE" w:rsidRPr="0002287B" w:rsidRDefault="00530A04" w:rsidP="006A6C85">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MapPoint</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F164EC">
        <w:tc>
          <w:tcPr>
            <w:tcW w:w="9198" w:type="dxa"/>
            <w:gridSpan w:val="2"/>
            <w:tcBorders>
              <w:top w:val="single" w:sz="8" w:space="0" w:color="F79646"/>
              <w:bottom w:val="single" w:sz="4" w:space="0" w:color="F79646"/>
              <w:right w:val="single" w:sz="4" w:space="0" w:color="F79646"/>
            </w:tcBorders>
            <w:vAlign w:val="center"/>
          </w:tcPr>
          <w:p w:rsidR="00DE25DE" w:rsidRPr="0002287B" w:rsidRDefault="00530A04" w:rsidP="006A6C85">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MapPoint</w:t>
            </w:r>
            <w:r w:rsidRPr="0002287B">
              <w:rPr>
                <w:rFonts w:ascii="Tahoma" w:hAnsi="Tahoma" w:cs="Tahoma"/>
                <w:sz w:val="16"/>
                <w:vertAlign w:val="superscript"/>
                <w:lang w:val="it-IT"/>
              </w:rPr>
              <w:t>®</w:t>
            </w:r>
            <w:r w:rsidRPr="0002287B">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BF6321" w:rsidRPr="0002287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02287B" w:rsidRDefault="0023150F" w:rsidP="006C410F">
            <w:pPr>
              <w:rPr>
                <w:rFonts w:ascii="Tahoma" w:hAnsi="Tahoma" w:cs="Tahoma"/>
                <w:bCs/>
                <w:sz w:val="16"/>
                <w:szCs w:val="19"/>
              </w:rPr>
            </w:pPr>
            <w:r w:rsidRPr="00DC65B4">
              <w:rPr>
                <w:rFonts w:ascii="Tahoma" w:hAnsi="Tahoma" w:cs="Tahoma"/>
                <w:sz w:val="16"/>
              </w:rPr>
              <w:t>Microsoft</w:t>
            </w:r>
            <w:r w:rsidRPr="00DC65B4">
              <w:rPr>
                <w:rFonts w:ascii="Tahoma" w:hAnsi="Tahoma" w:cs="Tahoma"/>
                <w:sz w:val="16"/>
                <w:vertAlign w:val="superscript"/>
              </w:rPr>
              <w:t>®</w:t>
            </w:r>
            <w:r w:rsidRPr="00DC65B4">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02287B" w:rsidRDefault="00530A04" w:rsidP="00C32E15">
            <w:pPr>
              <w:jc w:val="center"/>
              <w:rPr>
                <w:rStyle w:val="Hyperlink"/>
                <w:rFonts w:ascii="Tahoma" w:hAnsi="Tahoma" w:cs="Tahoma"/>
                <w:bCs/>
                <w:iCs/>
                <w:color w:val="auto"/>
                <w:sz w:val="16"/>
                <w:szCs w:val="16"/>
                <w:u w:val="none"/>
              </w:rPr>
            </w:pPr>
            <w:r w:rsidRPr="0002287B">
              <w:rPr>
                <w:rStyle w:val="Hyperlink"/>
                <w:rFonts w:ascii="Tahoma" w:hAnsi="Tahoma" w:cs="Tahoma"/>
                <w:color w:val="auto"/>
                <w:sz w:val="16"/>
                <w:u w:val="none"/>
                <w:lang w:val="it-IT"/>
              </w:rPr>
              <w:t>s</w:t>
            </w:r>
          </w:p>
        </w:tc>
      </w:tr>
      <w:tr w:rsidR="00DE25DE" w:rsidRPr="0002287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F164EC">
        <w:tc>
          <w:tcPr>
            <w:tcW w:w="9198" w:type="dxa"/>
            <w:gridSpan w:val="2"/>
            <w:tcBorders>
              <w:top w:val="single" w:sz="4"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OneNote</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Outlook</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PowerPoint</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402CFD">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Server 201</w:t>
            </w:r>
            <w:r w:rsidR="00402CFD">
              <w:rPr>
                <w:rFonts w:ascii="Tahoma" w:hAnsi="Tahoma" w:cs="Tahoma"/>
                <w:sz w:val="16"/>
                <w:lang w:val="it-IT"/>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565996">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BF6321">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SharePoint</w:t>
            </w:r>
            <w:r w:rsidRPr="0002287B">
              <w:rPr>
                <w:rFonts w:ascii="Tahoma" w:hAnsi="Tahoma" w:cs="Tahoma"/>
                <w:sz w:val="16"/>
                <w:vertAlign w:val="superscript"/>
                <w:lang w:val="it-IT"/>
              </w:rPr>
              <w:t>®</w:t>
            </w:r>
            <w:r w:rsidRPr="0002287B">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DC65B4" w:rsidRDefault="0097609B" w:rsidP="00C60EFA">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SQL Server</w:t>
            </w:r>
            <w:r w:rsidRPr="0002287B">
              <w:rPr>
                <w:rFonts w:ascii="Tahoma" w:hAnsi="Tahoma" w:cs="Tahoma"/>
                <w:sz w:val="16"/>
                <w:vertAlign w:val="superscript"/>
                <w:lang w:val="it-IT"/>
              </w:rPr>
              <w:t>®</w:t>
            </w:r>
            <w:r w:rsidRPr="0002287B">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DC65B4" w:rsidRDefault="0097609B" w:rsidP="00C60EFA">
            <w:pPr>
              <w:rPr>
                <w:rFonts w:ascii="Tahoma" w:hAnsi="Tahoma" w:cs="Tahoma"/>
                <w:bCs/>
                <w:sz w:val="16"/>
                <w:szCs w:val="19"/>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SQL Server</w:t>
            </w:r>
            <w:r w:rsidRPr="0002287B">
              <w:rPr>
                <w:rFonts w:ascii="Tahoma" w:hAnsi="Tahoma" w:cs="Tahoma"/>
                <w:sz w:val="16"/>
                <w:vertAlign w:val="superscript"/>
                <w:lang w:val="it-IT"/>
              </w:rPr>
              <w:t>®</w:t>
            </w:r>
            <w:r w:rsidRPr="0002287B">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C65B4" w:rsidRDefault="00DE25DE"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rPr>
            </w:pPr>
            <w:r w:rsidRPr="00DC65B4">
              <w:rPr>
                <w:rFonts w:ascii="Tahoma" w:hAnsi="Tahoma" w:cs="Tahoma"/>
                <w:sz w:val="16"/>
              </w:rPr>
              <w:t>Microsoft</w:t>
            </w:r>
            <w:r w:rsidRPr="00DC65B4">
              <w:rPr>
                <w:rFonts w:ascii="Tahoma" w:hAnsi="Tahoma" w:cs="Tahoma"/>
                <w:sz w:val="16"/>
                <w:vertAlign w:val="superscript"/>
              </w:rPr>
              <w:t>®</w:t>
            </w:r>
            <w:r w:rsidRPr="00DC65B4">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fr-FR"/>
              </w:rPr>
            </w:pPr>
            <w:r w:rsidRPr="00DC65B4">
              <w:rPr>
                <w:rFonts w:ascii="Tahoma" w:hAnsi="Tahoma" w:cs="Tahoma"/>
                <w:sz w:val="16"/>
                <w:lang w:val="fr-FR"/>
              </w:rPr>
              <w:t>Microsoft</w:t>
            </w:r>
            <w:r w:rsidRPr="00DC65B4">
              <w:rPr>
                <w:rFonts w:ascii="Tahoma" w:hAnsi="Tahoma" w:cs="Tahoma"/>
                <w:sz w:val="16"/>
                <w:vertAlign w:val="superscript"/>
                <w:lang w:val="fr-FR"/>
              </w:rPr>
              <w:t>®</w:t>
            </w:r>
            <w:r w:rsidRPr="00DC65B4">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DE25DE" w:rsidRPr="0002287B" w:rsidTr="00C32E15">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Visio</w:t>
            </w:r>
            <w:r w:rsidRPr="0002287B">
              <w:rPr>
                <w:rFonts w:ascii="Tahoma" w:hAnsi="Tahoma" w:cs="Tahoma"/>
                <w:sz w:val="16"/>
                <w:vertAlign w:val="superscript"/>
                <w:lang w:val="it-IT"/>
              </w:rPr>
              <w:t>®</w:t>
            </w:r>
            <w:r w:rsidRPr="0002287B">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Visio</w:t>
            </w:r>
            <w:r w:rsidRPr="0002287B">
              <w:rPr>
                <w:rFonts w:ascii="Tahoma" w:hAnsi="Tahoma" w:cs="Tahoma"/>
                <w:sz w:val="16"/>
                <w:vertAlign w:val="superscript"/>
                <w:lang w:val="it-IT"/>
              </w:rPr>
              <w:t>®</w:t>
            </w:r>
            <w:r w:rsidRPr="0002287B">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DC65B4">
              <w:rPr>
                <w:rFonts w:ascii="Tahoma" w:hAnsi="Tahoma" w:cs="Tahoma"/>
                <w:sz w:val="16"/>
              </w:rPr>
              <w:t>Microsoft</w:t>
            </w:r>
            <w:r w:rsidRPr="00DC65B4">
              <w:rPr>
                <w:rFonts w:ascii="Tahoma" w:hAnsi="Tahoma" w:cs="Tahoma"/>
                <w:sz w:val="16"/>
                <w:vertAlign w:val="superscript"/>
              </w:rPr>
              <w:t>®</w:t>
            </w:r>
            <w:r w:rsidRPr="00DC65B4">
              <w:rPr>
                <w:rFonts w:ascii="Tahoma" w:hAnsi="Tahoma" w:cs="Tahoma"/>
                <w:sz w:val="16"/>
              </w:rPr>
              <w:t xml:space="preserve"> Visual Studio</w:t>
            </w:r>
            <w:r w:rsidRPr="00DC65B4">
              <w:rPr>
                <w:rFonts w:ascii="Tahoma" w:hAnsi="Tahoma" w:cs="Tahoma"/>
                <w:sz w:val="16"/>
                <w:vertAlign w:val="superscript"/>
              </w:rPr>
              <w:t xml:space="preserve">® </w:t>
            </w:r>
            <w:r w:rsidRPr="00DC65B4">
              <w:rPr>
                <w:rFonts w:ascii="Tahoma" w:hAnsi="Tahoma" w:cs="Tahoma"/>
                <w:sz w:val="16"/>
              </w:rPr>
              <w:t>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DC65B4" w:rsidRDefault="0097609B" w:rsidP="003C297B">
            <w:pPr>
              <w:rPr>
                <w:rFonts w:ascii="Tahoma" w:hAnsi="Tahoma" w:cs="Tahoma"/>
                <w:bCs/>
                <w:sz w:val="16"/>
                <w:szCs w:val="19"/>
                <w:lang w:val="it-IT"/>
              </w:rPr>
            </w:pPr>
            <w:r w:rsidRPr="0002287B">
              <w:rPr>
                <w:rFonts w:ascii="Tahoma" w:hAnsi="Tahoma" w:cs="Tahoma"/>
                <w:sz w:val="16"/>
                <w:lang w:val="it-IT"/>
              </w:rPr>
              <w:t>CAL per Servizi Desktop Remoto di Microsoft</w:t>
            </w:r>
            <w:r w:rsidRPr="0002287B">
              <w:rPr>
                <w:rFonts w:ascii="Tahoma" w:hAnsi="Tahoma" w:cs="Tahoma"/>
                <w:sz w:val="16"/>
                <w:vertAlign w:val="superscript"/>
                <w:lang w:val="it-IT"/>
              </w:rPr>
              <w:t>®</w:t>
            </w:r>
            <w:r w:rsidRPr="0002287B">
              <w:rPr>
                <w:rFonts w:ascii="Tahoma" w:hAnsi="Tahoma" w:cs="Tahoma"/>
                <w:sz w:val="16"/>
                <w:lang w:val="it-IT"/>
              </w:rPr>
              <w:t xml:space="preserve"> Windows Server</w:t>
            </w:r>
            <w:r w:rsidRPr="0002287B">
              <w:rPr>
                <w:rFonts w:ascii="Tahoma" w:hAnsi="Tahoma" w:cs="Tahoma"/>
                <w:sz w:val="16"/>
                <w:vertAlign w:val="superscript"/>
                <w:lang w:val="it-IT"/>
              </w:rPr>
              <w:t>®</w:t>
            </w:r>
            <w:r w:rsidRPr="0002287B">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r</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bl>
    <w:p w:rsidR="00CC3B64" w:rsidRPr="00DC65B4" w:rsidRDefault="00530A04" w:rsidP="00A26EDA">
      <w:pPr>
        <w:spacing w:before="120" w:after="20"/>
        <w:rPr>
          <w:rFonts w:ascii="Tahoma" w:hAnsi="Tahoma" w:cs="Tahoma"/>
          <w:b/>
          <w:color w:val="FF6600"/>
          <w:sz w:val="24"/>
          <w:szCs w:val="24"/>
          <w:lang w:val="it-IT" w:eastAsia="x-none"/>
        </w:rPr>
      </w:pPr>
      <w:bookmarkStart w:id="4" w:name="_Q.__Do_I_need_to_buy_Commerce_Serve"/>
      <w:bookmarkEnd w:id="4"/>
      <w:r w:rsidRPr="0002287B">
        <w:rPr>
          <w:rFonts w:ascii="Tahoma" w:hAnsi="Tahoma" w:cs="Tahoma"/>
          <w:i/>
          <w:sz w:val="18"/>
          <w:lang w:val="it-IT"/>
        </w:rPr>
        <w:t>*Per i prodotti A, B, C e D nella colonna di destra sono disponibili condizioni aggiuntive negli Articoli A-D che seguono.</w:t>
      </w:r>
      <w:r w:rsidRPr="00DC65B4">
        <w:rPr>
          <w:rFonts w:ascii="Tahoma" w:hAnsi="Tahoma" w:cs="Tahoma"/>
          <w:lang w:val="it-IT"/>
        </w:rPr>
        <w:t xml:space="preserve"> </w:t>
      </w:r>
      <w:r w:rsidR="00836743" w:rsidRPr="00DC65B4">
        <w:rPr>
          <w:rFonts w:ascii="Tahoma" w:hAnsi="Tahoma" w:cs="Tahoma"/>
          <w:i/>
          <w:sz w:val="32"/>
          <w:szCs w:val="32"/>
          <w:lang w:val="it-IT"/>
        </w:rPr>
        <w:br w:type="page"/>
      </w:r>
    </w:p>
    <w:p w:rsidR="00A26EDA" w:rsidRPr="0002287B" w:rsidRDefault="00A26EDA" w:rsidP="00A26EDA">
      <w:pPr>
        <w:pStyle w:val="ListParagraph"/>
        <w:numPr>
          <w:ilvl w:val="0"/>
          <w:numId w:val="25"/>
        </w:numPr>
        <w:jc w:val="both"/>
        <w:rPr>
          <w:rFonts w:ascii="Tahoma" w:hAnsi="Tahoma" w:cs="Tahoma"/>
          <w:b/>
          <w:color w:val="FF6600"/>
          <w:sz w:val="24"/>
          <w:szCs w:val="24"/>
          <w:lang w:eastAsia="x-none"/>
        </w:rPr>
      </w:pPr>
      <w:r w:rsidRPr="0002287B">
        <w:rPr>
          <w:rFonts w:ascii="Tahoma" w:hAnsi="Tahoma" w:cs="Tahoma"/>
          <w:b/>
          <w:color w:val="FF6600"/>
          <w:sz w:val="24"/>
          <w:szCs w:val="24"/>
          <w:lang w:val="it-IT" w:eastAsia="x-none"/>
        </w:rPr>
        <w:lastRenderedPageBreak/>
        <w:t>Condizioni Aggiuntive per i Prodotti</w:t>
      </w:r>
    </w:p>
    <w:p w:rsidR="00A26EDA" w:rsidRPr="0002287B" w:rsidRDefault="00A26EDA" w:rsidP="00A26EDA">
      <w:pPr>
        <w:jc w:val="both"/>
        <w:rPr>
          <w:rFonts w:ascii="Tahoma" w:hAnsi="Tahoma" w:cs="Tahoma"/>
          <w:bCs/>
        </w:rPr>
      </w:pPr>
    </w:p>
    <w:p w:rsidR="00CC3B64" w:rsidRPr="00DC65B4" w:rsidRDefault="00530A04" w:rsidP="00CC3B64">
      <w:pPr>
        <w:numPr>
          <w:ilvl w:val="0"/>
          <w:numId w:val="15"/>
        </w:numPr>
        <w:jc w:val="both"/>
        <w:rPr>
          <w:rFonts w:ascii="Tahoma" w:hAnsi="Tahoma" w:cs="Tahoma"/>
          <w:bCs/>
          <w:lang w:val="it-IT"/>
        </w:rPr>
      </w:pPr>
      <w:r w:rsidRPr="0002287B">
        <w:rPr>
          <w:rFonts w:ascii="Tahoma" w:hAnsi="Tahoma" w:cs="Tahoma"/>
          <w:b/>
          <w:lang w:val="it-IT"/>
        </w:rPr>
        <w:t>Prodotti Applicativi Desktop Microsoft Office System.</w:t>
      </w:r>
      <w:r w:rsidR="00185DBA" w:rsidRPr="00DC65B4">
        <w:rPr>
          <w:rFonts w:ascii="Tahoma" w:hAnsi="Tahoma" w:cs="Tahoma"/>
          <w:lang w:val="it-IT"/>
        </w:rPr>
        <w:t xml:space="preserve"> </w:t>
      </w:r>
      <w:r w:rsidRPr="0002287B">
        <w:rPr>
          <w:rFonts w:ascii="Tahoma" w:hAnsi="Tahoma" w:cs="Tahoma"/>
          <w:lang w:val="it-IT"/>
        </w:rPr>
        <w:t>I seguenti requisiti aggiuntivi si applicano all</w:t>
      </w:r>
      <w:r w:rsidR="008E4F28" w:rsidRPr="0002287B">
        <w:rPr>
          <w:rFonts w:ascii="Tahoma" w:hAnsi="Tahoma" w:cs="Tahoma"/>
          <w:lang w:val="it-IT"/>
        </w:rPr>
        <w:t>’</w:t>
      </w:r>
      <w:r w:rsidRPr="0002287B">
        <w:rPr>
          <w:rFonts w:ascii="Tahoma" w:hAnsi="Tahoma" w:cs="Tahoma"/>
          <w:lang w:val="it-IT"/>
        </w:rPr>
        <w:t>utilizzo da parte del licenziatario dei Prodotti Applicativi Desktop Office (esclusi Microsoft</w:t>
      </w:r>
      <w:r w:rsidRPr="0002287B">
        <w:rPr>
          <w:rFonts w:ascii="Tahoma" w:hAnsi="Tahoma" w:cs="Tahoma"/>
          <w:vertAlign w:val="superscript"/>
          <w:lang w:val="it-IT"/>
        </w:rPr>
        <w:t xml:space="preserve">® </w:t>
      </w:r>
      <w:r w:rsidRPr="0002287B">
        <w:rPr>
          <w:rFonts w:ascii="Tahoma" w:hAnsi="Tahoma" w:cs="Tahoma"/>
          <w:lang w:val="it-IT"/>
        </w:rPr>
        <w:t>Office Multi Language Pack 2013, Microsoft</w:t>
      </w:r>
      <w:r w:rsidRPr="0002287B">
        <w:rPr>
          <w:rFonts w:ascii="Tahoma" w:hAnsi="Tahoma" w:cs="Tahoma"/>
          <w:vertAlign w:val="superscript"/>
          <w:lang w:val="it-IT"/>
        </w:rPr>
        <w:t>®</w:t>
      </w:r>
      <w:r w:rsidRPr="0002287B">
        <w:rPr>
          <w:rFonts w:ascii="Tahoma" w:hAnsi="Tahoma" w:cs="Tahoma"/>
          <w:lang w:val="it-IT"/>
        </w:rPr>
        <w:t xml:space="preserve"> Project Professional 2013 e Microsoft</w:t>
      </w:r>
      <w:r w:rsidRPr="0002287B">
        <w:rPr>
          <w:rFonts w:ascii="Tahoma" w:hAnsi="Tahoma" w:cs="Tahoma"/>
          <w:vertAlign w:val="superscript"/>
          <w:lang w:val="it-IT"/>
        </w:rPr>
        <w:t>®</w:t>
      </w:r>
      <w:r w:rsidRPr="0002287B">
        <w:rPr>
          <w:rFonts w:ascii="Tahoma" w:hAnsi="Tahoma" w:cs="Tahoma"/>
          <w:lang w:val="it-IT"/>
        </w:rPr>
        <w:t xml:space="preserve"> Visio</w:t>
      </w:r>
      <w:r w:rsidRPr="0002287B">
        <w:rPr>
          <w:rFonts w:ascii="Tahoma" w:hAnsi="Tahoma" w:cs="Tahoma"/>
          <w:vertAlign w:val="superscript"/>
          <w:lang w:val="it-IT"/>
        </w:rPr>
        <w:t>®</w:t>
      </w:r>
      <w:r w:rsidRPr="0002287B">
        <w:rPr>
          <w:rFonts w:ascii="Tahoma" w:hAnsi="Tahoma" w:cs="Tahoma"/>
          <w:lang w:val="it-IT"/>
        </w:rPr>
        <w:t xml:space="preserve"> 2013):</w:t>
      </w:r>
    </w:p>
    <w:p w:rsidR="00CC3B64" w:rsidRPr="00DC65B4" w:rsidRDefault="00CC3B64" w:rsidP="00CC3B64">
      <w:pPr>
        <w:jc w:val="both"/>
        <w:rPr>
          <w:rFonts w:ascii="Tahoma" w:hAnsi="Tahoma" w:cs="Tahoma"/>
          <w:bCs/>
          <w:lang w:val="it-IT"/>
        </w:rPr>
      </w:pPr>
    </w:p>
    <w:p w:rsidR="00CC3B64" w:rsidRPr="00DC65B4" w:rsidRDefault="00530A04" w:rsidP="00CC3B64">
      <w:pPr>
        <w:numPr>
          <w:ilvl w:val="0"/>
          <w:numId w:val="3"/>
        </w:numPr>
        <w:jc w:val="both"/>
        <w:rPr>
          <w:rFonts w:ascii="Tahoma" w:hAnsi="Tahoma" w:cs="Tahoma"/>
          <w:lang w:val="it-IT"/>
        </w:rPr>
      </w:pPr>
      <w:r w:rsidRPr="0002287B">
        <w:rPr>
          <w:rFonts w:ascii="Tahoma" w:hAnsi="Tahoma" w:cs="Tahoma"/>
          <w:b/>
          <w:lang w:val="it-IT"/>
        </w:rPr>
        <w:t>Numero massimo di desktop qualificati.</w:t>
      </w:r>
      <w:r w:rsidR="00185DBA" w:rsidRPr="00DC65B4">
        <w:rPr>
          <w:rFonts w:ascii="Tahoma" w:hAnsi="Tahoma" w:cs="Tahoma"/>
          <w:lang w:val="it-IT"/>
        </w:rPr>
        <w:t xml:space="preserve"> </w:t>
      </w:r>
      <w:r w:rsidRPr="0002287B">
        <w:rPr>
          <w:rFonts w:ascii="Tahoma" w:hAnsi="Tahoma" w:cs="Tahoma"/>
          <w:lang w:val="it-IT"/>
        </w:rPr>
        <w:t>Il licenziatario potrà offrire i Prodotti Office Integrati con la Soluzione Unificata agli utenti finali con un numero qualsiasi di desktop qualificati.</w:t>
      </w:r>
      <w:r w:rsidR="00185DBA" w:rsidRPr="00DC65B4">
        <w:rPr>
          <w:rFonts w:ascii="Tahoma" w:hAnsi="Tahoma" w:cs="Tahoma"/>
          <w:lang w:val="it-IT"/>
        </w:rPr>
        <w:t xml:space="preserve"> </w:t>
      </w:r>
      <w:r w:rsidRPr="0002287B">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8E4F28" w:rsidRPr="0002287B">
        <w:rPr>
          <w:rFonts w:ascii="Tahoma" w:hAnsi="Tahoma" w:cs="Tahoma"/>
          <w:lang w:val="it-IT"/>
        </w:rPr>
        <w:t>’</w:t>
      </w:r>
      <w:r w:rsidRPr="0002287B">
        <w:rPr>
          <w:rFonts w:ascii="Tahoma" w:hAnsi="Tahoma" w:cs="Tahoma"/>
          <w:lang w:val="it-IT"/>
        </w:rPr>
        <w:t>utente finale in questione.</w:t>
      </w:r>
      <w:r w:rsidRPr="00DC65B4">
        <w:rPr>
          <w:rFonts w:ascii="Tahoma" w:hAnsi="Tahoma" w:cs="Tahoma"/>
          <w:lang w:val="it-IT"/>
        </w:rPr>
        <w:t xml:space="preserve"> </w:t>
      </w:r>
      <w:r w:rsidR="008E4F28" w:rsidRPr="0002287B">
        <w:rPr>
          <w:rFonts w:ascii="Tahoma" w:hAnsi="Tahoma" w:cs="Tahoma"/>
          <w:lang w:val="it-IT"/>
        </w:rPr>
        <w:t>“</w:t>
      </w:r>
      <w:r w:rsidRPr="0002287B">
        <w:rPr>
          <w:rFonts w:ascii="Tahoma" w:hAnsi="Tahoma" w:cs="Tahoma"/>
          <w:lang w:val="it-IT"/>
        </w:rPr>
        <w:t>Desktop qualificati</w:t>
      </w:r>
      <w:r w:rsidR="008E4F28" w:rsidRPr="0002287B">
        <w:rPr>
          <w:rFonts w:ascii="Tahoma" w:hAnsi="Tahoma" w:cs="Tahoma"/>
          <w:lang w:val="it-IT"/>
        </w:rPr>
        <w:t>”</w:t>
      </w:r>
      <w:r w:rsidRPr="0002287B">
        <w:rPr>
          <w:rFonts w:ascii="Tahoma" w:hAnsi="Tahoma" w:cs="Tahoma"/>
          <w:lang w:val="it-IT"/>
        </w:rPr>
        <w:t xml:space="preserve"> sono i personal computer desktop, i computer portatili, le workstation o dispositivi simili che vengono utilizzati dall</w:t>
      </w:r>
      <w:r w:rsidR="008E4F28" w:rsidRPr="0002287B">
        <w:rPr>
          <w:rFonts w:ascii="Tahoma" w:hAnsi="Tahoma" w:cs="Tahoma"/>
          <w:lang w:val="it-IT"/>
        </w:rPr>
        <w:t>’</w:t>
      </w:r>
      <w:r w:rsidRPr="0002287B">
        <w:rPr>
          <w:rFonts w:ascii="Tahoma" w:hAnsi="Tahoma" w:cs="Tahoma"/>
          <w:lang w:val="it-IT"/>
        </w:rPr>
        <w:t>utente finale e da eventuali Consociate di quest</w:t>
      </w:r>
      <w:r w:rsidR="008E4F28" w:rsidRPr="0002287B">
        <w:rPr>
          <w:rFonts w:ascii="Tahoma" w:hAnsi="Tahoma" w:cs="Tahoma"/>
          <w:lang w:val="it-IT"/>
        </w:rPr>
        <w:t>’</w:t>
      </w:r>
      <w:r w:rsidRPr="0002287B">
        <w:rPr>
          <w:rFonts w:ascii="Tahoma" w:hAnsi="Tahoma" w:cs="Tahoma"/>
          <w:lang w:val="it-IT"/>
        </w:rPr>
        <w:t>ultimo che dispongono della licenza per l</w:t>
      </w:r>
      <w:r w:rsidR="008E4F28" w:rsidRPr="0002287B">
        <w:rPr>
          <w:rFonts w:ascii="Tahoma" w:hAnsi="Tahoma" w:cs="Tahoma"/>
          <w:lang w:val="it-IT"/>
        </w:rPr>
        <w:t>’</w:t>
      </w:r>
      <w:r w:rsidRPr="0002287B">
        <w:rPr>
          <w:rFonts w:ascii="Tahoma" w:hAnsi="Tahoma" w:cs="Tahoma"/>
          <w:lang w:val="it-IT"/>
        </w:rPr>
        <w:t>utilizzo della Soluzione Unificata o che vengono utilizzati a favore di questi soggetti.</w:t>
      </w:r>
      <w:r w:rsidR="00185DBA" w:rsidRPr="00DC65B4">
        <w:rPr>
          <w:rFonts w:ascii="Tahoma" w:hAnsi="Tahoma" w:cs="Tahoma"/>
          <w:lang w:val="it-IT"/>
        </w:rPr>
        <w:t xml:space="preserve"> </w:t>
      </w:r>
      <w:r w:rsidRPr="0002287B">
        <w:rPr>
          <w:rFonts w:ascii="Tahoma" w:hAnsi="Tahoma" w:cs="Tahoma"/>
          <w:lang w:val="it-IT"/>
        </w:rPr>
        <w:t>I desktop qualificati non comprendono:</w:t>
      </w:r>
      <w:r w:rsidR="00CC3B64" w:rsidRPr="00DC65B4">
        <w:rPr>
          <w:rFonts w:ascii="Tahoma" w:hAnsi="Tahoma" w:cs="Tahoma"/>
          <w:lang w:val="it-IT"/>
        </w:rPr>
        <w:t xml:space="preserve"> </w:t>
      </w:r>
      <w:r w:rsidR="00CC3B64" w:rsidRPr="0002287B">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r w:rsidR="00CC3B64" w:rsidRPr="00DC65B4">
        <w:rPr>
          <w:rFonts w:ascii="Tahoma" w:hAnsi="Tahoma" w:cs="Tahoma"/>
          <w:lang w:val="it-IT"/>
        </w:rPr>
        <w:t xml:space="preserve"> </w:t>
      </w:r>
    </w:p>
    <w:p w:rsidR="00554191" w:rsidRPr="00DC65B4" w:rsidRDefault="00530A04" w:rsidP="00554191">
      <w:pPr>
        <w:numPr>
          <w:ilvl w:val="0"/>
          <w:numId w:val="3"/>
        </w:numPr>
        <w:jc w:val="both"/>
        <w:rPr>
          <w:rFonts w:ascii="Tahoma" w:hAnsi="Tahoma" w:cs="Tahoma"/>
          <w:lang w:val="it-IT"/>
        </w:rPr>
      </w:pPr>
      <w:r w:rsidRPr="0002287B">
        <w:rPr>
          <w:rFonts w:ascii="Tahoma" w:hAnsi="Tahoma" w:cs="Tahoma"/>
          <w:b/>
          <w:lang w:val="it-IT"/>
        </w:rPr>
        <w:t>Chiarimenti riguardanti le Copie Principali.</w:t>
      </w:r>
      <w:r w:rsidR="00185DBA" w:rsidRPr="00DC65B4">
        <w:rPr>
          <w:rFonts w:ascii="Tahoma" w:hAnsi="Tahoma" w:cs="Tahoma"/>
          <w:lang w:val="it-IT"/>
        </w:rPr>
        <w:t xml:space="preserve"> </w:t>
      </w:r>
      <w:r w:rsidR="0097609B" w:rsidRPr="0002287B">
        <w:rPr>
          <w:rFonts w:ascii="Tahoma" w:hAnsi="Tahoma" w:cs="Tahoma"/>
          <w:lang w:val="it-IT"/>
        </w:rPr>
        <w:t>Nonostante qualsiasi altra disposizione del Contratto e/o del Contratto Academic, per i Prodotti Applicativi Desktop Office (escluso Microsoft</w:t>
      </w:r>
      <w:r w:rsidR="0097609B" w:rsidRPr="0002287B">
        <w:rPr>
          <w:rFonts w:ascii="Tahoma" w:hAnsi="Tahoma" w:cs="Tahoma"/>
          <w:vertAlign w:val="superscript"/>
          <w:lang w:val="it-IT"/>
        </w:rPr>
        <w:t>®</w:t>
      </w:r>
      <w:r w:rsidR="0097609B" w:rsidRPr="0002287B">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00185DBA" w:rsidRPr="00DC65B4">
        <w:rPr>
          <w:rFonts w:ascii="Tahoma" w:hAnsi="Tahoma" w:cs="Tahoma"/>
          <w:lang w:val="it-IT"/>
        </w:rPr>
        <w:t xml:space="preserve"> </w:t>
      </w:r>
      <w:r w:rsidRPr="0002287B">
        <w:rPr>
          <w:rFonts w:ascii="Tahoma" w:hAnsi="Tahoma" w:cs="Tahoma"/>
          <w:lang w:val="it-IT"/>
        </w:rPr>
        <w:t>Il licenziatario potrà utilizzare le Copie Principali al solo scopo di eseguire la copia dei Prodotti Office per l</w:t>
      </w:r>
      <w:r w:rsidR="008E4F28" w:rsidRPr="0002287B">
        <w:rPr>
          <w:rFonts w:ascii="Tahoma" w:hAnsi="Tahoma" w:cs="Tahoma"/>
          <w:lang w:val="it-IT"/>
        </w:rPr>
        <w:t>’</w:t>
      </w:r>
      <w:r w:rsidRPr="0002287B">
        <w:rPr>
          <w:rFonts w:ascii="Tahoma" w:hAnsi="Tahoma" w:cs="Tahoma"/>
          <w:lang w:val="it-IT"/>
        </w:rPr>
        <w:t>Integrazione e la distribuzione della Soluzione Unificata.</w:t>
      </w:r>
      <w:r w:rsidR="00185DBA" w:rsidRPr="00DC65B4">
        <w:rPr>
          <w:rFonts w:ascii="Tahoma" w:hAnsi="Tahoma" w:cs="Tahoma"/>
          <w:lang w:val="it-IT"/>
        </w:rPr>
        <w:t xml:space="preserve"> </w:t>
      </w:r>
      <w:r w:rsidRPr="0002287B">
        <w:rPr>
          <w:rFonts w:ascii="Tahoma" w:hAnsi="Tahoma" w:cs="Tahoma"/>
          <w:lang w:val="it-IT"/>
        </w:rPr>
        <w:t>Microsoft fornirà al licenziatario le informazioni sul contatto e le altre informazioni necessarie riguardanti Microsoft Worldwide Fulfillment.</w:t>
      </w:r>
    </w:p>
    <w:p w:rsidR="00CC3B64" w:rsidRPr="00DC65B4" w:rsidRDefault="00CC3B64" w:rsidP="00CC3B64">
      <w:pPr>
        <w:jc w:val="both"/>
        <w:rPr>
          <w:rFonts w:ascii="Tahoma" w:hAnsi="Tahoma" w:cs="Tahoma"/>
          <w:lang w:val="it-IT"/>
        </w:rPr>
      </w:pPr>
    </w:p>
    <w:p w:rsidR="00554191" w:rsidRPr="0002287B" w:rsidRDefault="0097609B" w:rsidP="00554191">
      <w:pPr>
        <w:pStyle w:val="ListParagraph"/>
        <w:numPr>
          <w:ilvl w:val="0"/>
          <w:numId w:val="15"/>
        </w:numPr>
        <w:rPr>
          <w:rFonts w:ascii="Tahoma" w:hAnsi="Tahoma" w:cs="Tahoma"/>
          <w:color w:val="000000" w:themeColor="text1"/>
        </w:rPr>
      </w:pPr>
      <w:r w:rsidRPr="0002287B">
        <w:rPr>
          <w:rFonts w:ascii="Tahoma" w:hAnsi="Tahoma" w:cs="Tahoma"/>
          <w:b/>
          <w:color w:val="000000" w:themeColor="text1"/>
          <w:lang w:val="it-IT"/>
        </w:rPr>
        <w:t>Microsoft</w:t>
      </w:r>
      <w:r w:rsidRPr="0002287B">
        <w:rPr>
          <w:rStyle w:val="Hyperlink"/>
          <w:rFonts w:ascii="Tahoma" w:hAnsi="Tahoma" w:cs="Tahoma"/>
          <w:b/>
          <w:color w:val="000000" w:themeColor="text1"/>
          <w:sz w:val="19"/>
          <w:u w:val="none"/>
          <w:vertAlign w:val="superscript"/>
          <w:lang w:val="it-IT"/>
        </w:rPr>
        <w:t>®</w:t>
      </w:r>
      <w:r w:rsidRPr="0002287B">
        <w:rPr>
          <w:rStyle w:val="Hyperlink"/>
          <w:rFonts w:ascii="Tahoma" w:hAnsi="Tahoma" w:cs="Tahoma"/>
          <w:b/>
          <w:color w:val="000000" w:themeColor="text1"/>
          <w:sz w:val="19"/>
          <w:u w:val="none"/>
          <w:lang w:val="it-IT"/>
        </w:rPr>
        <w:t xml:space="preserve"> </w:t>
      </w:r>
      <w:r w:rsidRPr="0002287B">
        <w:rPr>
          <w:rFonts w:ascii="Tahoma" w:hAnsi="Tahoma" w:cs="Tahoma"/>
          <w:b/>
          <w:color w:val="000000" w:themeColor="text1"/>
          <w:lang w:val="it-IT"/>
        </w:rPr>
        <w:t>MapPoint</w:t>
      </w:r>
      <w:r w:rsidRPr="0002287B">
        <w:rPr>
          <w:rStyle w:val="Hyperlink"/>
          <w:rFonts w:ascii="Tahoma" w:hAnsi="Tahoma" w:cs="Tahoma"/>
          <w:b/>
          <w:color w:val="000000" w:themeColor="text1"/>
          <w:sz w:val="19"/>
          <w:u w:val="none"/>
          <w:vertAlign w:val="superscript"/>
          <w:lang w:val="it-IT"/>
        </w:rPr>
        <w:t>®</w:t>
      </w:r>
      <w:r w:rsidRPr="0002287B">
        <w:rPr>
          <w:rStyle w:val="Hyperlink"/>
          <w:rFonts w:ascii="Tahoma" w:hAnsi="Tahoma" w:cs="Tahoma"/>
          <w:b/>
          <w:color w:val="000000" w:themeColor="text1"/>
          <w:sz w:val="19"/>
          <w:u w:val="none"/>
          <w:lang w:val="it-IT"/>
        </w:rPr>
        <w:t xml:space="preserve"> 2013/ Fleet</w:t>
      </w:r>
      <w:r w:rsidRPr="0002287B">
        <w:rPr>
          <w:rFonts w:ascii="Tahoma" w:hAnsi="Tahoma" w:cs="Tahoma"/>
          <w:b/>
          <w:color w:val="000000" w:themeColor="text1"/>
          <w:lang w:val="it-IT"/>
        </w:rPr>
        <w:t xml:space="preserve"> 2013</w:t>
      </w:r>
    </w:p>
    <w:p w:rsidR="00554191" w:rsidRPr="0002287B" w:rsidRDefault="00554191" w:rsidP="00554191">
      <w:pPr>
        <w:pStyle w:val="ListParagraph"/>
        <w:ind w:left="0"/>
        <w:rPr>
          <w:rFonts w:ascii="Tahoma" w:hAnsi="Tahoma" w:cs="Tahoma"/>
        </w:rPr>
      </w:pPr>
    </w:p>
    <w:p w:rsidR="00162781" w:rsidRPr="00DC65B4" w:rsidRDefault="00530A04" w:rsidP="00C32E15">
      <w:pPr>
        <w:pStyle w:val="ListParagraph"/>
        <w:numPr>
          <w:ilvl w:val="0"/>
          <w:numId w:val="28"/>
        </w:numPr>
        <w:tabs>
          <w:tab w:val="left" w:pos="1260"/>
        </w:tabs>
        <w:ind w:left="1260"/>
        <w:rPr>
          <w:rFonts w:ascii="Tahoma" w:hAnsi="Tahoma" w:cs="Tahoma"/>
          <w:lang w:val="it-IT"/>
        </w:rPr>
      </w:pPr>
      <w:r w:rsidRPr="0002287B">
        <w:rPr>
          <w:rFonts w:ascii="Tahoma" w:hAnsi="Tahoma" w:cs="Tahoma"/>
          <w:b/>
          <w:lang w:val="it-IT"/>
        </w:rPr>
        <w:t>Mapping Kit.</w:t>
      </w:r>
      <w:r w:rsidRPr="00DC65B4">
        <w:rPr>
          <w:rFonts w:ascii="Tahoma" w:hAnsi="Tahoma" w:cs="Tahoma"/>
          <w:lang w:val="it-IT"/>
        </w:rPr>
        <w:t xml:space="preserve"> </w:t>
      </w:r>
      <w:r w:rsidRPr="0002287B">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162781" w:rsidRPr="0002287B" w:rsidRDefault="00530A04" w:rsidP="000F2784">
      <w:pPr>
        <w:pStyle w:val="ListParagraph"/>
        <w:numPr>
          <w:ilvl w:val="0"/>
          <w:numId w:val="27"/>
        </w:numPr>
        <w:rPr>
          <w:rFonts w:ascii="Tahoma" w:hAnsi="Tahoma" w:cs="Tahoma"/>
        </w:rPr>
      </w:pPr>
      <w:r w:rsidRPr="0002287B">
        <w:rPr>
          <w:rFonts w:ascii="Tahoma" w:hAnsi="Tahoma" w:cs="Tahoma"/>
          <w:lang w:val="it-IT"/>
        </w:rPr>
        <w:t>Microsoft</w:t>
      </w:r>
      <w:r w:rsidRPr="0002287B">
        <w:rPr>
          <w:rFonts w:ascii="Tahoma" w:hAnsi="Tahoma" w:cs="Tahoma"/>
          <w:vertAlign w:val="superscript"/>
          <w:lang w:val="it-IT"/>
        </w:rPr>
        <w:t>®</w:t>
      </w:r>
      <w:r w:rsidRPr="0002287B">
        <w:rPr>
          <w:rFonts w:ascii="Tahoma" w:hAnsi="Tahoma" w:cs="Tahoma"/>
          <w:lang w:val="it-IT"/>
        </w:rPr>
        <w:t xml:space="preserve"> MapPoint</w:t>
      </w:r>
      <w:r w:rsidRPr="0002287B">
        <w:rPr>
          <w:rFonts w:ascii="Tahoma" w:hAnsi="Tahoma" w:cs="Tahoma"/>
          <w:vertAlign w:val="superscript"/>
          <w:lang w:val="it-IT"/>
        </w:rPr>
        <w:t>®</w:t>
      </w:r>
      <w:r w:rsidRPr="0002287B">
        <w:rPr>
          <w:rFonts w:ascii="Tahoma" w:hAnsi="Tahoma" w:cs="Tahoma"/>
          <w:lang w:val="it-IT"/>
        </w:rPr>
        <w:t xml:space="preserve"> 2013</w:t>
      </w:r>
    </w:p>
    <w:p w:rsidR="00162781" w:rsidRPr="0002287B" w:rsidRDefault="00530A04" w:rsidP="000F2784">
      <w:pPr>
        <w:pStyle w:val="ListParagraph"/>
        <w:numPr>
          <w:ilvl w:val="0"/>
          <w:numId w:val="27"/>
        </w:numPr>
        <w:rPr>
          <w:rFonts w:ascii="Tahoma" w:hAnsi="Tahoma" w:cs="Tahoma"/>
        </w:rPr>
      </w:pPr>
      <w:r w:rsidRPr="0002287B">
        <w:rPr>
          <w:rFonts w:ascii="Tahoma" w:hAnsi="Tahoma" w:cs="Tahoma"/>
          <w:lang w:val="it-IT"/>
        </w:rPr>
        <w:t>Microsoft</w:t>
      </w:r>
      <w:r w:rsidRPr="0002287B">
        <w:rPr>
          <w:rFonts w:ascii="Tahoma" w:hAnsi="Tahoma" w:cs="Tahoma"/>
          <w:vertAlign w:val="superscript"/>
          <w:lang w:val="it-IT"/>
        </w:rPr>
        <w:t>®</w:t>
      </w:r>
      <w:r w:rsidRPr="0002287B">
        <w:rPr>
          <w:rFonts w:ascii="Tahoma" w:hAnsi="Tahoma" w:cs="Tahoma"/>
          <w:lang w:val="it-IT"/>
        </w:rPr>
        <w:t xml:space="preserve"> MapPoint</w:t>
      </w:r>
      <w:r w:rsidRPr="0002287B">
        <w:rPr>
          <w:rFonts w:ascii="Tahoma" w:hAnsi="Tahoma" w:cs="Tahoma"/>
          <w:vertAlign w:val="superscript"/>
          <w:lang w:val="it-IT"/>
        </w:rPr>
        <w:t>®</w:t>
      </w:r>
      <w:r w:rsidRPr="0002287B">
        <w:rPr>
          <w:rFonts w:ascii="Tahoma" w:hAnsi="Tahoma" w:cs="Tahoma"/>
          <w:lang w:val="it-IT"/>
        </w:rPr>
        <w:t xml:space="preserve"> Fleet 2013</w:t>
      </w:r>
    </w:p>
    <w:p w:rsidR="00554191" w:rsidRPr="0002287B" w:rsidRDefault="00554191" w:rsidP="000F2784">
      <w:pPr>
        <w:pStyle w:val="ListParagraph"/>
        <w:ind w:left="1260"/>
        <w:jc w:val="both"/>
        <w:rPr>
          <w:rFonts w:ascii="Tahoma" w:hAnsi="Tahoma" w:cs="Tahoma"/>
        </w:rPr>
      </w:pPr>
    </w:p>
    <w:p w:rsidR="00554191" w:rsidRPr="00DC65B4" w:rsidRDefault="00530A04" w:rsidP="00554191">
      <w:pPr>
        <w:pStyle w:val="ListParagraph"/>
        <w:numPr>
          <w:ilvl w:val="0"/>
          <w:numId w:val="15"/>
        </w:numPr>
        <w:rPr>
          <w:rFonts w:ascii="Tahoma" w:hAnsi="Tahoma" w:cs="Tahoma"/>
          <w:lang w:val="it-IT"/>
        </w:rPr>
      </w:pPr>
      <w:r w:rsidRPr="0002287B">
        <w:rPr>
          <w:rFonts w:ascii="Tahoma" w:hAnsi="Tahoma" w:cs="Tahoma"/>
          <w:b/>
          <w:lang w:val="it-IT"/>
        </w:rPr>
        <w:t>CAL per Servizi Desktop Remoto di Windows Server</w:t>
      </w:r>
    </w:p>
    <w:p w:rsidR="00554191" w:rsidRPr="00DC65B4" w:rsidRDefault="00554191" w:rsidP="00554191">
      <w:pPr>
        <w:pStyle w:val="ListParagraph"/>
        <w:rPr>
          <w:rFonts w:ascii="Tahoma" w:hAnsi="Tahoma" w:cs="Tahoma"/>
          <w:lang w:val="it-IT"/>
        </w:rPr>
      </w:pPr>
    </w:p>
    <w:p w:rsidR="00554191" w:rsidRPr="00DC65B4" w:rsidRDefault="00530A04" w:rsidP="00956831">
      <w:pPr>
        <w:pStyle w:val="ListParagraph"/>
        <w:numPr>
          <w:ilvl w:val="0"/>
          <w:numId w:val="3"/>
        </w:numPr>
        <w:rPr>
          <w:rFonts w:ascii="Tahoma" w:hAnsi="Tahoma" w:cs="Tahoma"/>
          <w:lang w:val="it-IT"/>
        </w:rPr>
      </w:pPr>
      <w:r w:rsidRPr="0002287B">
        <w:rPr>
          <w:rFonts w:ascii="Tahoma" w:hAnsi="Tahoma" w:cs="Tahoma"/>
          <w:lang w:val="it-IT"/>
        </w:rPr>
        <w:t>Le licenze CAL per Servizi Desktop Remoto di Windows Server richiedono la sottoscrizione di una modifica</w:t>
      </w:r>
      <w:r w:rsidR="00956831">
        <w:rPr>
          <w:rFonts w:ascii="Tahoma" w:hAnsi="Tahoma" w:cs="Tahoma"/>
          <w:lang w:val="it-IT"/>
        </w:rPr>
        <w:t> </w:t>
      </w:r>
      <w:r w:rsidRPr="0002287B">
        <w:rPr>
          <w:rFonts w:ascii="Tahoma" w:hAnsi="Tahoma" w:cs="Tahoma"/>
          <w:lang w:val="it-IT"/>
        </w:rPr>
        <w:t>del contratto prima della distribuzione del prodotto.</w:t>
      </w:r>
      <w:r w:rsidR="00185DBA" w:rsidRPr="00DC65B4">
        <w:rPr>
          <w:rFonts w:ascii="Tahoma" w:hAnsi="Tahoma" w:cs="Tahoma"/>
          <w:lang w:val="it-IT"/>
        </w:rPr>
        <w:t xml:space="preserve"> </w:t>
      </w:r>
      <w:r w:rsidR="00C744D4" w:rsidRPr="0002287B">
        <w:rPr>
          <w:rFonts w:ascii="Tahoma" w:hAnsi="Tahoma" w:cs="Tahoma"/>
          <w:lang w:val="it-IT"/>
        </w:rPr>
        <w:t>Il licenziatario dovrà scrivere all</w:t>
      </w:r>
      <w:r w:rsidR="008E4F28" w:rsidRPr="0002287B">
        <w:rPr>
          <w:rFonts w:ascii="Tahoma" w:hAnsi="Tahoma" w:cs="Tahoma"/>
          <w:lang w:val="it-IT"/>
        </w:rPr>
        <w:t>’</w:t>
      </w:r>
      <w:r w:rsidR="00C744D4" w:rsidRPr="0002287B">
        <w:rPr>
          <w:rFonts w:ascii="Tahoma" w:hAnsi="Tahoma" w:cs="Tahoma"/>
          <w:lang w:val="it-IT"/>
        </w:rPr>
        <w:t xml:space="preserve">indirizzo </w:t>
      </w:r>
      <w:hyperlink r:id="rId8" w:history="1">
        <w:r w:rsidR="00C744D4" w:rsidRPr="0002287B">
          <w:rPr>
            <w:rStyle w:val="Hyperlink"/>
            <w:rFonts w:ascii="Tahoma" w:hAnsi="Tahoma" w:cs="Tahoma"/>
            <w:lang w:val="it-IT"/>
          </w:rPr>
          <w:t>isvroy@microsoft.com</w:t>
        </w:r>
      </w:hyperlink>
      <w:r w:rsidR="00C744D4" w:rsidRPr="0002287B">
        <w:rPr>
          <w:rFonts w:ascii="Tahoma" w:hAnsi="Tahoma" w:cs="Tahoma"/>
          <w:lang w:val="it-IT"/>
        </w:rPr>
        <w:t xml:space="preserve"> o contattare il proprio distributore.</w:t>
      </w:r>
    </w:p>
    <w:p w:rsidR="00797681" w:rsidRPr="00DC65B4" w:rsidRDefault="00797681" w:rsidP="00797681">
      <w:pPr>
        <w:pStyle w:val="ListParagraph"/>
        <w:ind w:left="360"/>
        <w:rPr>
          <w:rFonts w:ascii="Tahoma" w:hAnsi="Tahoma" w:cs="Tahoma"/>
          <w:lang w:val="it-IT"/>
        </w:rPr>
      </w:pPr>
    </w:p>
    <w:p w:rsidR="00797681" w:rsidRPr="0002287B" w:rsidRDefault="00C744D4" w:rsidP="00797681">
      <w:pPr>
        <w:pStyle w:val="ListParagraph"/>
        <w:numPr>
          <w:ilvl w:val="0"/>
          <w:numId w:val="15"/>
        </w:numPr>
        <w:rPr>
          <w:rFonts w:ascii="Tahoma" w:hAnsi="Tahoma" w:cs="Tahoma"/>
          <w:color w:val="000000" w:themeColor="text1"/>
        </w:rPr>
      </w:pPr>
      <w:r w:rsidRPr="0002287B">
        <w:rPr>
          <w:rFonts w:ascii="Tahoma" w:hAnsi="Tahoma" w:cs="Tahoma"/>
          <w:b/>
          <w:color w:val="000000" w:themeColor="text1"/>
          <w:lang w:val="it-IT"/>
        </w:rPr>
        <w:t>Microsoft</w:t>
      </w:r>
      <w:r w:rsidRPr="0002287B">
        <w:rPr>
          <w:rStyle w:val="Hyperlink"/>
          <w:rFonts w:ascii="Tahoma" w:hAnsi="Tahoma" w:cs="Tahoma"/>
          <w:b/>
          <w:color w:val="000000" w:themeColor="text1"/>
          <w:sz w:val="19"/>
          <w:u w:val="none"/>
          <w:vertAlign w:val="superscript"/>
          <w:lang w:val="it-IT"/>
        </w:rPr>
        <w:t>®</w:t>
      </w:r>
      <w:r w:rsidRPr="0002287B">
        <w:rPr>
          <w:rStyle w:val="Hyperlink"/>
          <w:rFonts w:ascii="Tahoma" w:hAnsi="Tahoma" w:cs="Tahoma"/>
          <w:b/>
          <w:color w:val="000000" w:themeColor="text1"/>
          <w:sz w:val="19"/>
          <w:u w:val="none"/>
          <w:lang w:val="it-IT"/>
        </w:rPr>
        <w:t xml:space="preserve"> </w:t>
      </w:r>
      <w:r w:rsidRPr="0002287B">
        <w:rPr>
          <w:rFonts w:ascii="Tahoma" w:hAnsi="Tahoma" w:cs="Tahoma"/>
          <w:b/>
          <w:color w:val="000000" w:themeColor="text1"/>
          <w:lang w:val="it-IT"/>
        </w:rPr>
        <w:t>System Center 2012</w:t>
      </w:r>
    </w:p>
    <w:p w:rsidR="00797681" w:rsidRPr="0002287B" w:rsidRDefault="00797681" w:rsidP="00797681">
      <w:pPr>
        <w:pStyle w:val="ListParagraph"/>
        <w:rPr>
          <w:rFonts w:ascii="Tahoma" w:hAnsi="Tahoma" w:cs="Tahoma"/>
        </w:rPr>
      </w:pPr>
    </w:p>
    <w:p w:rsidR="00797681" w:rsidRPr="004B2C30" w:rsidRDefault="00530A04" w:rsidP="00797681">
      <w:pPr>
        <w:pStyle w:val="ListParagraph"/>
        <w:numPr>
          <w:ilvl w:val="0"/>
          <w:numId w:val="3"/>
        </w:numPr>
        <w:rPr>
          <w:rFonts w:ascii="Tahoma" w:hAnsi="Tahoma" w:cs="Tahoma"/>
          <w:lang w:val="it-IT"/>
        </w:rPr>
      </w:pPr>
      <w:r w:rsidRPr="0002287B">
        <w:rPr>
          <w:rFonts w:ascii="Tahoma" w:hAnsi="Tahoma" w:cs="Tahoma"/>
          <w:lang w:val="it-IT"/>
        </w:rPr>
        <w:t>L</w:t>
      </w:r>
      <w:r w:rsidR="008E4F28" w:rsidRPr="0002287B">
        <w:rPr>
          <w:rFonts w:ascii="Tahoma" w:hAnsi="Tahoma" w:cs="Tahoma"/>
          <w:lang w:val="it-IT"/>
        </w:rPr>
        <w:t>’</w:t>
      </w:r>
      <w:r w:rsidRPr="0002287B">
        <w:rPr>
          <w:rFonts w:ascii="Tahoma" w:hAnsi="Tahoma" w:cs="Tahoma"/>
          <w:lang w:val="it-IT"/>
        </w:rPr>
        <w:t>utilizzo di System Center 2012 per gestire gli OSE su un dispositivo o server con licenza richiede l</w:t>
      </w:r>
      <w:r w:rsidR="008E4F28" w:rsidRPr="0002287B">
        <w:rPr>
          <w:rFonts w:ascii="Tahoma" w:hAnsi="Tahoma" w:cs="Tahoma"/>
          <w:lang w:val="it-IT"/>
        </w:rPr>
        <w:t>’</w:t>
      </w:r>
      <w:r w:rsidRPr="0002287B">
        <w:rPr>
          <w:rFonts w:ascii="Tahoma" w:hAnsi="Tahoma" w:cs="Tahoma"/>
          <w:lang w:val="it-IT"/>
        </w:rPr>
        <w:t>acquisizione e l</w:t>
      </w:r>
      <w:r w:rsidR="008E4F28" w:rsidRPr="0002287B">
        <w:rPr>
          <w:rFonts w:ascii="Tahoma" w:hAnsi="Tahoma" w:cs="Tahoma"/>
          <w:lang w:val="it-IT"/>
        </w:rPr>
        <w:t>’</w:t>
      </w:r>
      <w:r w:rsidRPr="0002287B">
        <w:rPr>
          <w:rFonts w:ascii="Tahoma" w:hAnsi="Tahoma" w:cs="Tahoma"/>
          <w:lang w:val="it-IT"/>
        </w:rPr>
        <w:t>assegnazione sia della licenza System Center 2012 che di System Center Embedded Maintenance.</w:t>
      </w:r>
    </w:p>
    <w:p w:rsidR="00554191" w:rsidRPr="004B2C30" w:rsidRDefault="00554191" w:rsidP="00EC223A">
      <w:pPr>
        <w:pStyle w:val="ListParagraph"/>
        <w:ind w:left="0"/>
        <w:jc w:val="both"/>
        <w:rPr>
          <w:rFonts w:ascii="Tahoma" w:hAnsi="Tahoma" w:cs="Tahoma"/>
          <w:lang w:val="it-IT"/>
        </w:rPr>
      </w:pPr>
    </w:p>
    <w:p w:rsidR="00CC3B64" w:rsidRPr="0002287B" w:rsidRDefault="00CC3B64" w:rsidP="00A26EDA">
      <w:pPr>
        <w:pStyle w:val="ListParagraph"/>
        <w:numPr>
          <w:ilvl w:val="0"/>
          <w:numId w:val="25"/>
        </w:numPr>
        <w:spacing w:before="120" w:after="20"/>
        <w:rPr>
          <w:rFonts w:ascii="Tahoma" w:hAnsi="Tahoma" w:cs="Tahoma"/>
          <w:b/>
          <w:color w:val="FF6600"/>
          <w:sz w:val="24"/>
          <w:szCs w:val="24"/>
          <w:lang w:eastAsia="x-none"/>
        </w:rPr>
      </w:pPr>
      <w:r w:rsidRPr="0002287B">
        <w:rPr>
          <w:rFonts w:ascii="Tahoma" w:hAnsi="Tahoma" w:cs="Tahoma"/>
          <w:b/>
          <w:color w:val="FF6600"/>
          <w:sz w:val="24"/>
          <w:szCs w:val="24"/>
          <w:lang w:val="it-IT" w:eastAsia="x-none"/>
        </w:rPr>
        <w:t>Download Elettronico</w:t>
      </w:r>
    </w:p>
    <w:p w:rsidR="00CC3B64" w:rsidRPr="0002287B" w:rsidRDefault="00CC3B64" w:rsidP="00CC3B64">
      <w:pPr>
        <w:rPr>
          <w:rFonts w:ascii="Tahoma" w:hAnsi="Tahoma" w:cs="Tahoma"/>
          <w:b/>
          <w:bCs/>
        </w:rPr>
      </w:pPr>
    </w:p>
    <w:p w:rsidR="00CC3B64" w:rsidRPr="00DC65B4" w:rsidRDefault="00530A04" w:rsidP="00423A45">
      <w:pPr>
        <w:tabs>
          <w:tab w:val="left" w:pos="0"/>
        </w:tabs>
        <w:rPr>
          <w:rFonts w:ascii="Tahoma" w:hAnsi="Tahoma" w:cs="Tahoma"/>
          <w:lang w:val="it-IT"/>
        </w:rPr>
      </w:pPr>
      <w:r w:rsidRPr="0002287B">
        <w:rPr>
          <w:rFonts w:ascii="Tahoma" w:hAnsi="Tahoma" w:cs="Tahoma"/>
          <w:b/>
          <w:lang w:val="it-IT"/>
        </w:rPr>
        <w:t>Distribuzione di Prodotti tramite download elettronico.</w:t>
      </w:r>
      <w:r w:rsidR="00185DBA" w:rsidRPr="00DC65B4">
        <w:rPr>
          <w:rFonts w:ascii="Tahoma" w:hAnsi="Tahoma" w:cs="Tahoma"/>
          <w:lang w:val="it-IT"/>
        </w:rPr>
        <w:t xml:space="preserve"> </w:t>
      </w:r>
      <w:r w:rsidRPr="0002287B">
        <w:rPr>
          <w:rFonts w:ascii="Tahoma" w:hAnsi="Tahoma" w:cs="Tahoma"/>
          <w:lang w:val="it-IT"/>
        </w:rPr>
        <w:t>Nonostante eventuali disposizioni contrarie del Contratto, il</w:t>
      </w:r>
      <w:r w:rsidR="00423A45">
        <w:rPr>
          <w:rFonts w:ascii="Tahoma" w:hAnsi="Tahoma" w:cs="Tahoma"/>
          <w:lang w:val="it-IT"/>
        </w:rPr>
        <w:t> </w:t>
      </w:r>
      <w:r w:rsidRPr="0002287B">
        <w:rPr>
          <w:rFonts w:ascii="Tahoma" w:hAnsi="Tahoma" w:cs="Tahoma"/>
          <w:lang w:val="it-IT"/>
        </w:rPr>
        <w:t xml:space="preserve">licenziatario potrà distribuire, tramite download elettronico, SOLO le Soluzioni Unificate che includono i Prodotti Microsoft contrassegnati da una </w:t>
      </w:r>
      <w:r w:rsidR="008E4F28" w:rsidRPr="0002287B">
        <w:rPr>
          <w:rFonts w:ascii="Tahoma" w:hAnsi="Tahoma" w:cs="Tahoma"/>
          <w:lang w:val="it-IT"/>
        </w:rPr>
        <w:t>“</w:t>
      </w:r>
      <w:r w:rsidRPr="0002287B">
        <w:rPr>
          <w:rFonts w:ascii="Tahoma" w:hAnsi="Tahoma" w:cs="Tahoma"/>
          <w:lang w:val="it-IT"/>
        </w:rPr>
        <w:t>x</w:t>
      </w:r>
      <w:r w:rsidR="008E4F28" w:rsidRPr="0002287B">
        <w:rPr>
          <w:rFonts w:ascii="Tahoma" w:hAnsi="Tahoma" w:cs="Tahoma"/>
          <w:lang w:val="it-IT"/>
        </w:rPr>
        <w:t>”</w:t>
      </w:r>
      <w:r w:rsidRPr="0002287B">
        <w:rPr>
          <w:rFonts w:ascii="Tahoma" w:hAnsi="Tahoma" w:cs="Tahoma"/>
          <w:lang w:val="it-IT"/>
        </w:rPr>
        <w:t xml:space="preserve"> nella casella </w:t>
      </w:r>
      <w:r w:rsidR="008E4F28" w:rsidRPr="0002287B">
        <w:rPr>
          <w:rFonts w:ascii="Tahoma" w:hAnsi="Tahoma" w:cs="Tahoma"/>
          <w:lang w:val="it-IT"/>
        </w:rPr>
        <w:t>“</w:t>
      </w:r>
      <w:r w:rsidRPr="0002287B">
        <w:rPr>
          <w:rFonts w:ascii="Tahoma" w:hAnsi="Tahoma" w:cs="Tahoma"/>
          <w:lang w:val="it-IT"/>
        </w:rPr>
        <w:t>Download Elettronico</w:t>
      </w:r>
      <w:r w:rsidR="008E4F28" w:rsidRPr="0002287B">
        <w:rPr>
          <w:rFonts w:ascii="Tahoma" w:hAnsi="Tahoma" w:cs="Tahoma"/>
          <w:lang w:val="it-IT"/>
        </w:rPr>
        <w:t>”</w:t>
      </w:r>
      <w:r w:rsidRPr="0002287B">
        <w:rPr>
          <w:rFonts w:ascii="Tahoma" w:hAnsi="Tahoma" w:cs="Tahoma"/>
          <w:lang w:val="it-IT"/>
        </w:rPr>
        <w:t xml:space="preserve"> nella precedente Lista dei Prodotti, in</w:t>
      </w:r>
      <w:r w:rsidR="00423A45">
        <w:rPr>
          <w:rFonts w:ascii="Tahoma" w:hAnsi="Tahoma" w:cs="Tahoma"/>
          <w:lang w:val="it-IT"/>
        </w:rPr>
        <w:t> </w:t>
      </w:r>
      <w:r w:rsidRPr="0002287B">
        <w:rPr>
          <w:rFonts w:ascii="Tahoma" w:hAnsi="Tahoma" w:cs="Tahoma"/>
          <w:lang w:val="it-IT"/>
        </w:rPr>
        <w:t>conformità</w:t>
      </w:r>
      <w:r w:rsidR="00423A45">
        <w:rPr>
          <w:rFonts w:ascii="Tahoma" w:hAnsi="Tahoma" w:cs="Tahoma"/>
          <w:lang w:val="it-IT"/>
        </w:rPr>
        <w:t> </w:t>
      </w:r>
      <w:r w:rsidRPr="0002287B">
        <w:rPr>
          <w:rFonts w:ascii="Tahoma" w:hAnsi="Tahoma" w:cs="Tahoma"/>
          <w:lang w:val="it-IT"/>
        </w:rPr>
        <w:t>alle seguenti condizioni aggiuntive:</w:t>
      </w:r>
    </w:p>
    <w:p w:rsidR="00CC3B64" w:rsidRPr="00DC65B4" w:rsidRDefault="00CC3B64" w:rsidP="004C604E">
      <w:pPr>
        <w:pStyle w:val="ListParagraph"/>
        <w:ind w:left="0"/>
        <w:rPr>
          <w:rFonts w:ascii="Tahoma" w:hAnsi="Tahoma" w:cs="Tahoma"/>
          <w:lang w:val="it-IT"/>
        </w:rPr>
      </w:pPr>
    </w:p>
    <w:p w:rsidR="004C604E" w:rsidRPr="00DC65B4" w:rsidRDefault="00530A04" w:rsidP="004B2C30">
      <w:pPr>
        <w:numPr>
          <w:ilvl w:val="4"/>
          <w:numId w:val="16"/>
        </w:numPr>
        <w:ind w:left="720"/>
        <w:rPr>
          <w:rFonts w:ascii="Tahoma" w:hAnsi="Tahoma" w:cs="Tahoma"/>
          <w:lang w:val="it-IT"/>
        </w:rPr>
      </w:pPr>
      <w:r w:rsidRPr="0002287B">
        <w:rPr>
          <w:rFonts w:ascii="Tahoma" w:hAnsi="Tahoma" w:cs="Tahoma"/>
          <w:lang w:val="it-IT"/>
        </w:rPr>
        <w:t>La Soluzione Unificata da distribuire tramite download elettronico dovrà incorporare completamente il Prodotto</w:t>
      </w:r>
      <w:r w:rsidR="004B2C30">
        <w:rPr>
          <w:rFonts w:ascii="Tahoma" w:hAnsi="Tahoma" w:cs="Tahoma"/>
          <w:lang w:val="it-IT"/>
        </w:rPr>
        <w:t> </w:t>
      </w:r>
      <w:r w:rsidRPr="0002287B">
        <w:rPr>
          <w:rFonts w:ascii="Tahoma" w:hAnsi="Tahoma" w:cs="Tahoma"/>
          <w:lang w:val="it-IT"/>
        </w:rPr>
        <w:t>e</w:t>
      </w:r>
      <w:r w:rsidR="0002287B">
        <w:rPr>
          <w:rFonts w:ascii="Tahoma" w:hAnsi="Tahoma" w:cs="Tahoma"/>
          <w:lang w:val="it-IT"/>
        </w:rPr>
        <w:t> </w:t>
      </w:r>
      <w:r w:rsidRPr="0002287B">
        <w:rPr>
          <w:rFonts w:ascii="Tahoma" w:hAnsi="Tahoma" w:cs="Tahoma"/>
          <w:lang w:val="it-IT"/>
        </w:rPr>
        <w:t>il download elettronico dovrà consistere nella Soluzione Unificata nella sua completezza.</w:t>
      </w:r>
    </w:p>
    <w:p w:rsidR="004C604E" w:rsidRPr="00DC65B4" w:rsidRDefault="00530A04" w:rsidP="003011A6">
      <w:pPr>
        <w:numPr>
          <w:ilvl w:val="4"/>
          <w:numId w:val="16"/>
        </w:numPr>
        <w:ind w:left="720"/>
        <w:rPr>
          <w:rFonts w:ascii="Tahoma" w:hAnsi="Tahoma" w:cs="Tahoma"/>
          <w:lang w:val="it-IT"/>
        </w:rPr>
      </w:pPr>
      <w:r w:rsidRPr="0002287B">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 il nome e l</w:t>
      </w:r>
      <w:r w:rsidR="008E4F28" w:rsidRPr="0002287B">
        <w:rPr>
          <w:rFonts w:ascii="Tahoma" w:hAnsi="Tahoma" w:cs="Tahoma"/>
          <w:lang w:val="it-IT"/>
        </w:rPr>
        <w:t>’</w:t>
      </w:r>
      <w:r w:rsidRPr="0002287B">
        <w:rPr>
          <w:rFonts w:ascii="Tahoma" w:hAnsi="Tahoma" w:cs="Tahoma"/>
          <w:lang w:val="it-IT"/>
        </w:rPr>
        <w:t>indirizzo dell</w:t>
      </w:r>
      <w:r w:rsidR="008E4F28" w:rsidRPr="0002287B">
        <w:rPr>
          <w:rFonts w:ascii="Tahoma" w:hAnsi="Tahoma" w:cs="Tahoma"/>
          <w:lang w:val="it-IT"/>
        </w:rPr>
        <w:t>’</w:t>
      </w:r>
      <w:r w:rsidRPr="0002287B">
        <w:rPr>
          <w:rFonts w:ascii="Tahoma" w:hAnsi="Tahoma" w:cs="Tahoma"/>
          <w:lang w:val="it-IT"/>
        </w:rPr>
        <w:t>Utente Finale.</w:t>
      </w:r>
    </w:p>
    <w:p w:rsidR="004C604E" w:rsidRPr="00DC65B4" w:rsidRDefault="00530A04" w:rsidP="003011A6">
      <w:pPr>
        <w:numPr>
          <w:ilvl w:val="4"/>
          <w:numId w:val="16"/>
        </w:numPr>
        <w:ind w:left="720"/>
        <w:rPr>
          <w:rFonts w:ascii="Tahoma" w:hAnsi="Tahoma" w:cs="Tahoma"/>
          <w:lang w:val="it-IT"/>
        </w:rPr>
      </w:pPr>
      <w:r w:rsidRPr="0002287B">
        <w:rPr>
          <w:rFonts w:ascii="Tahoma" w:hAnsi="Tahoma" w:cs="Tahoma"/>
          <w:lang w:val="it-IT"/>
        </w:rPr>
        <w:t>Il licenziatario dovrà proteggere le pagine di download con almeno un certificato SSL a 128 bit o equivalente.</w:t>
      </w:r>
    </w:p>
    <w:p w:rsidR="00CC3B64" w:rsidRPr="00DC65B4" w:rsidRDefault="00530A04" w:rsidP="003F3497">
      <w:pPr>
        <w:numPr>
          <w:ilvl w:val="4"/>
          <w:numId w:val="16"/>
        </w:numPr>
        <w:ind w:left="720"/>
        <w:rPr>
          <w:rFonts w:ascii="Tahoma" w:hAnsi="Tahoma" w:cs="Tahoma"/>
          <w:lang w:val="it-IT"/>
        </w:rPr>
      </w:pPr>
      <w:r w:rsidRPr="0002287B">
        <w:rPr>
          <w:rFonts w:ascii="Tahoma" w:hAnsi="Tahoma" w:cs="Tahoma"/>
          <w:lang w:val="it-IT"/>
        </w:rPr>
        <w:t>Il licenziatario dovrà implementare procedure che limitino l</w:t>
      </w:r>
      <w:r w:rsidR="008E4F28" w:rsidRPr="0002287B">
        <w:rPr>
          <w:rFonts w:ascii="Tahoma" w:hAnsi="Tahoma" w:cs="Tahoma"/>
          <w:lang w:val="it-IT"/>
        </w:rPr>
        <w:t>’</w:t>
      </w:r>
      <w:r w:rsidRPr="0002287B">
        <w:rPr>
          <w:rFonts w:ascii="Tahoma" w:hAnsi="Tahoma" w:cs="Tahoma"/>
          <w:lang w:val="it-IT"/>
        </w:rPr>
        <w:t>accesso ai server che ospitano un Prodotto nell</w:t>
      </w:r>
      <w:r w:rsidR="008E4F28" w:rsidRPr="0002287B">
        <w:rPr>
          <w:rFonts w:ascii="Tahoma" w:hAnsi="Tahoma" w:cs="Tahoma"/>
          <w:lang w:val="it-IT"/>
        </w:rPr>
        <w:t>’</w:t>
      </w:r>
      <w:r w:rsidRPr="0002287B">
        <w:rPr>
          <w:rFonts w:ascii="Tahoma" w:hAnsi="Tahoma" w:cs="Tahoma"/>
          <w:lang w:val="it-IT"/>
        </w:rPr>
        <w:t>ambito di una Soluzione Unificata per il download elettronico solo ai suoi Utenti Finali autorizzati e solo in relazione al Prodotto a cui tali Utenti Finali hanno diritto.</w:t>
      </w:r>
    </w:p>
    <w:p w:rsidR="00CC3B64" w:rsidRPr="00DC65B4" w:rsidRDefault="00530A04" w:rsidP="0002287B">
      <w:pPr>
        <w:pStyle w:val="ListParagraph"/>
        <w:numPr>
          <w:ilvl w:val="4"/>
          <w:numId w:val="16"/>
        </w:numPr>
        <w:ind w:left="720"/>
        <w:rPr>
          <w:rFonts w:ascii="Tahoma" w:hAnsi="Tahoma" w:cs="Tahoma"/>
          <w:lang w:val="it-IT"/>
        </w:rPr>
      </w:pPr>
      <w:r w:rsidRPr="0002287B">
        <w:rPr>
          <w:rFonts w:ascii="Tahoma" w:hAnsi="Tahoma" w:cs="Tahoma"/>
          <w:lang w:val="it-IT"/>
        </w:rPr>
        <w:t>Su richiesta di Microsoft, il licenziatario dovrà fornire a Microsoft una descrizione della propria infrastruttura di</w:t>
      </w:r>
      <w:r w:rsidR="0002287B">
        <w:rPr>
          <w:rFonts w:ascii="Tahoma" w:hAnsi="Tahoma" w:cs="Tahoma"/>
          <w:lang w:val="it-IT"/>
        </w:rPr>
        <w:t> </w:t>
      </w:r>
      <w:r w:rsidRPr="0002287B">
        <w:rPr>
          <w:rFonts w:ascii="Tahoma" w:hAnsi="Tahoma" w:cs="Tahoma"/>
          <w:lang w:val="it-IT"/>
        </w:rPr>
        <w:t>download per ogni Soluzione Unificata che intende distribuire tramite download elettronico. Microsoft, a sua discrezione e senza il pagamento di alcun tipo di corrispettivo o penale, potrà revocare i diritti del licenziatario di</w:t>
      </w:r>
      <w:r w:rsidR="0002287B">
        <w:rPr>
          <w:rFonts w:ascii="Tahoma" w:hAnsi="Tahoma" w:cs="Tahoma"/>
          <w:lang w:val="it-IT"/>
        </w:rPr>
        <w:t> </w:t>
      </w:r>
      <w:r w:rsidRPr="0002287B">
        <w:rPr>
          <w:rFonts w:ascii="Tahoma" w:hAnsi="Tahoma" w:cs="Tahoma"/>
          <w:lang w:val="it-IT"/>
        </w:rPr>
        <w:t>distribuire una Soluzione Unificata tramite download elettronico, qualora determini che l</w:t>
      </w:r>
      <w:r w:rsidR="008E4F28" w:rsidRPr="0002287B">
        <w:rPr>
          <w:rFonts w:ascii="Tahoma" w:hAnsi="Tahoma" w:cs="Tahoma"/>
          <w:lang w:val="it-IT"/>
        </w:rPr>
        <w:t>’</w:t>
      </w:r>
      <w:r w:rsidRPr="0002287B">
        <w:rPr>
          <w:rFonts w:ascii="Tahoma" w:hAnsi="Tahoma" w:cs="Tahoma"/>
          <w:lang w:val="it-IT"/>
        </w:rPr>
        <w:t>infrastruttura del licenziatario non soddisfi le condizioni del presente Contratto.</w:t>
      </w:r>
      <w:r w:rsidRPr="00DC65B4">
        <w:rPr>
          <w:rFonts w:ascii="Tahoma" w:hAnsi="Tahoma" w:cs="Tahoma"/>
          <w:lang w:val="it-IT"/>
        </w:rPr>
        <w:t xml:space="preserve"> </w:t>
      </w:r>
    </w:p>
    <w:p w:rsidR="00CC3B64" w:rsidRPr="00DC65B4" w:rsidRDefault="00530A04" w:rsidP="003011A6">
      <w:pPr>
        <w:pStyle w:val="ListParagraph"/>
        <w:numPr>
          <w:ilvl w:val="4"/>
          <w:numId w:val="16"/>
        </w:numPr>
        <w:ind w:left="720"/>
        <w:rPr>
          <w:rFonts w:ascii="Tahoma" w:hAnsi="Tahoma" w:cs="Tahoma"/>
          <w:lang w:val="it-IT"/>
        </w:rPr>
      </w:pPr>
      <w:r w:rsidRPr="0002287B">
        <w:rPr>
          <w:rFonts w:ascii="Tahoma" w:hAnsi="Tahoma" w:cs="Tahoma"/>
          <w:lang w:val="it-IT"/>
        </w:rPr>
        <w:t>Su richiesta di Microsoft, il licenziatario dovrà consentire a Microsoft di verificare l</w:t>
      </w:r>
      <w:r w:rsidR="008E4F28" w:rsidRPr="0002287B">
        <w:rPr>
          <w:rFonts w:ascii="Tahoma" w:hAnsi="Tahoma" w:cs="Tahoma"/>
          <w:lang w:val="it-IT"/>
        </w:rPr>
        <w:t>’</w:t>
      </w:r>
      <w:r w:rsidRPr="0002287B">
        <w:rPr>
          <w:rFonts w:ascii="Tahoma" w:hAnsi="Tahoma" w:cs="Tahoma"/>
          <w:lang w:val="it-IT"/>
        </w:rPr>
        <w:t>efficacia della propria infrastruttura per il download elettronico, inclusi, a titolo esemplificativo, i controlli di sicurezza e la loro validità.</w:t>
      </w:r>
    </w:p>
    <w:p w:rsidR="00CC3B64" w:rsidRPr="00DC65B4" w:rsidRDefault="00530A04" w:rsidP="003011A6">
      <w:pPr>
        <w:pStyle w:val="ListParagraph"/>
        <w:numPr>
          <w:ilvl w:val="4"/>
          <w:numId w:val="16"/>
        </w:numPr>
        <w:ind w:left="720"/>
        <w:rPr>
          <w:rFonts w:ascii="Tahoma" w:hAnsi="Tahoma" w:cs="Tahoma"/>
          <w:lang w:val="it-IT"/>
        </w:rPr>
      </w:pPr>
      <w:r w:rsidRPr="0002287B">
        <w:rPr>
          <w:rFonts w:ascii="Tahoma" w:hAnsi="Tahoma" w:cs="Tahoma"/>
          <w:lang w:val="it-IT"/>
        </w:rPr>
        <w:t>Il licenziatario sarà gravemente inadempiente al Contratto e responsabile di eventuali danni, senza alcuna limitazione di tipo o quantità, qualora una persona diversa dall</w:t>
      </w:r>
      <w:r w:rsidR="008E4F28" w:rsidRPr="0002287B">
        <w:rPr>
          <w:rFonts w:ascii="Tahoma" w:hAnsi="Tahoma" w:cs="Tahoma"/>
          <w:lang w:val="it-IT"/>
        </w:rPr>
        <w:t>’</w:t>
      </w:r>
      <w:r w:rsidRPr="0002287B">
        <w:rPr>
          <w:rFonts w:ascii="Tahoma" w:hAnsi="Tahoma" w:cs="Tahoma"/>
          <w:lang w:val="it-IT"/>
        </w:rPr>
        <w:t>Utente Finale autorizzato ad accedere o scaricare la Soluzione Unificata dovesse accedere o scaricare un Prodotto, sia separatamente che nell</w:t>
      </w:r>
      <w:r w:rsidR="008E4F28" w:rsidRPr="0002287B">
        <w:rPr>
          <w:rFonts w:ascii="Tahoma" w:hAnsi="Tahoma" w:cs="Tahoma"/>
          <w:lang w:val="it-IT"/>
        </w:rPr>
        <w:t>’</w:t>
      </w:r>
      <w:r w:rsidRPr="0002287B">
        <w:rPr>
          <w:rFonts w:ascii="Tahoma" w:hAnsi="Tahoma" w:cs="Tahoma"/>
          <w:lang w:val="it-IT"/>
        </w:rPr>
        <w:t>ambito della Soluzione Unificata. Nel caso di accesso o download non autorizzato di un Prodotto da parte di una persona, Microsoft avrà il diritto di svolgere un</w:t>
      </w:r>
      <w:r w:rsidR="008E4F28" w:rsidRPr="0002287B">
        <w:rPr>
          <w:rFonts w:ascii="Tahoma" w:hAnsi="Tahoma" w:cs="Tahoma"/>
          <w:lang w:val="it-IT"/>
        </w:rPr>
        <w:t>’</w:t>
      </w:r>
      <w:r w:rsidRPr="0002287B">
        <w:rPr>
          <w:rFonts w:ascii="Tahoma" w:hAnsi="Tahoma" w:cs="Tahoma"/>
          <w:lang w:val="it-IT"/>
        </w:rPr>
        <w:t>indagine completa ed esaustiva riguardo a tale accesso o download non autorizzato addebitandone il costo esclusivamente al licenziatario.</w:t>
      </w:r>
    </w:p>
    <w:p w:rsidR="00CC3B64" w:rsidRPr="00DC65B4" w:rsidRDefault="00530A04" w:rsidP="00B55FD4">
      <w:pPr>
        <w:numPr>
          <w:ilvl w:val="4"/>
          <w:numId w:val="16"/>
        </w:numPr>
        <w:ind w:left="720"/>
        <w:rPr>
          <w:rFonts w:ascii="Tahoma" w:hAnsi="Tahoma" w:cs="Tahoma"/>
          <w:lang w:val="it-IT"/>
        </w:rPr>
      </w:pPr>
      <w:r w:rsidRPr="0002287B">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w:t>
      </w:r>
      <w:r w:rsidR="00B55FD4">
        <w:rPr>
          <w:rFonts w:ascii="Tahoma" w:hAnsi="Tahoma" w:cs="Tahoma"/>
          <w:lang w:val="it-IT"/>
        </w:rPr>
        <w:t> </w:t>
      </w:r>
      <w:r w:rsidRPr="0002287B">
        <w:rPr>
          <w:rFonts w:ascii="Tahoma" w:hAnsi="Tahoma" w:cs="Tahoma"/>
          <w:lang w:val="it-IT"/>
        </w:rPr>
        <w:t>interrompere tali distribuzioni fino a quando non sarà stato posto rimedio a tale mancanza di conformità.</w:t>
      </w:r>
    </w:p>
    <w:p w:rsidR="00EC223A" w:rsidRPr="00DC65B4" w:rsidRDefault="00EC223A" w:rsidP="00554191">
      <w:pPr>
        <w:ind w:left="360"/>
        <w:rPr>
          <w:rFonts w:ascii="Tahoma" w:hAnsi="Tahoma" w:cs="Tahoma"/>
          <w:lang w:val="it-IT"/>
        </w:rPr>
      </w:pPr>
    </w:p>
    <w:p w:rsidR="00EC223A" w:rsidRPr="00DC65B4" w:rsidRDefault="00530A04" w:rsidP="00A26EDA">
      <w:pPr>
        <w:numPr>
          <w:ilvl w:val="0"/>
          <w:numId w:val="25"/>
        </w:numPr>
        <w:spacing w:before="120" w:after="20"/>
        <w:rPr>
          <w:rFonts w:ascii="Tahoma" w:hAnsi="Tahoma" w:cs="Tahoma"/>
          <w:b/>
          <w:color w:val="FF6600"/>
          <w:sz w:val="24"/>
          <w:szCs w:val="24"/>
          <w:lang w:val="it-IT" w:eastAsia="x-none"/>
        </w:rPr>
      </w:pPr>
      <w:r w:rsidRPr="0002287B">
        <w:rPr>
          <w:rFonts w:ascii="Tahoma" w:hAnsi="Tahoma" w:cs="Tahoma"/>
          <w:b/>
          <w:color w:val="FF6600"/>
          <w:sz w:val="24"/>
          <w:lang w:val="it-IT"/>
        </w:rPr>
        <w:t>Concessioni per la Migrazione dei Prodotti</w:t>
      </w:r>
    </w:p>
    <w:p w:rsidR="00830ED6" w:rsidRPr="00DC65B4" w:rsidRDefault="00530A04" w:rsidP="008F4C47">
      <w:pPr>
        <w:spacing w:before="120" w:after="20"/>
        <w:rPr>
          <w:rFonts w:ascii="Tahoma" w:hAnsi="Tahoma" w:cs="Tahoma"/>
          <w:lang w:val="it-IT"/>
        </w:rPr>
      </w:pPr>
      <w:r w:rsidRPr="0002287B">
        <w:rPr>
          <w:rFonts w:ascii="Tahoma" w:hAnsi="Tahoma" w:cs="Tahoma"/>
          <w:b/>
          <w:lang w:val="it-IT"/>
        </w:rPr>
        <w:t>Concessioni per la Migrazione dei Prodotti con la Manutenzione Evolutiva</w:t>
      </w:r>
      <w:r w:rsidRPr="0002287B">
        <w:rPr>
          <w:rFonts w:ascii="Tahoma" w:hAnsi="Tahoma" w:cs="Tahoma"/>
          <w:lang w:val="it-IT"/>
        </w:rPr>
        <w:t>.</w:t>
      </w:r>
      <w:r w:rsidRPr="00DC65B4">
        <w:rPr>
          <w:rFonts w:ascii="Tahoma" w:hAnsi="Tahoma" w:cs="Tahoma"/>
          <w:lang w:val="it-IT"/>
        </w:rPr>
        <w:t xml:space="preserve"> </w:t>
      </w:r>
      <w:r w:rsidRPr="0002287B">
        <w:rPr>
          <w:rFonts w:ascii="Tahoma" w:hAnsi="Tahoma" w:cs="Tahoma"/>
          <w:lang w:val="it-IT"/>
        </w:rPr>
        <w:t>Il presente Articolo si applica solo agli Utenti Finali con copertura Embedded Maintenance attiva per i loro Prodotti al momento dell</w:t>
      </w:r>
      <w:r w:rsidR="008E4F28" w:rsidRPr="0002287B">
        <w:rPr>
          <w:rFonts w:ascii="Tahoma" w:hAnsi="Tahoma" w:cs="Tahoma"/>
          <w:lang w:val="it-IT"/>
        </w:rPr>
        <w:t>’</w:t>
      </w:r>
      <w:r w:rsidRPr="0002287B">
        <w:rPr>
          <w:rFonts w:ascii="Tahoma" w:hAnsi="Tahoma" w:cs="Tahoma"/>
          <w:lang w:val="it-IT"/>
        </w:rPr>
        <w:t>aggiornamento della Soluzione Unificata.</w:t>
      </w:r>
    </w:p>
    <w:p w:rsidR="00F77BD0" w:rsidRPr="00DC65B4" w:rsidRDefault="00530A04" w:rsidP="00536C86">
      <w:pPr>
        <w:spacing w:before="120" w:after="120"/>
        <w:jc w:val="both"/>
        <w:rPr>
          <w:rFonts w:ascii="Tahoma" w:hAnsi="Tahoma" w:cs="Tahoma"/>
          <w:lang w:val="it-IT"/>
        </w:rPr>
      </w:pPr>
      <w:r w:rsidRPr="0002287B">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0E36EC" w:rsidRPr="004B2C30" w:rsidRDefault="00530A04" w:rsidP="000C5051">
      <w:pPr>
        <w:pStyle w:val="ListParagraph"/>
        <w:numPr>
          <w:ilvl w:val="0"/>
          <w:numId w:val="3"/>
        </w:numPr>
        <w:spacing w:before="120" w:after="120"/>
        <w:jc w:val="both"/>
        <w:rPr>
          <w:rFonts w:ascii="Tahoma" w:hAnsi="Tahoma" w:cs="Tahoma"/>
          <w:lang w:val="it-IT"/>
        </w:rPr>
      </w:pPr>
      <w:r w:rsidRPr="0002287B">
        <w:rPr>
          <w:rFonts w:ascii="Tahoma" w:hAnsi="Tahoma" w:cs="Tahoma"/>
          <w:lang w:val="it-IT"/>
        </w:rPr>
        <w:t>la Licenza Qualificante è la licenza software con Embedded Maintenance;</w:t>
      </w:r>
    </w:p>
    <w:p w:rsidR="00830ED6" w:rsidRPr="00DC65B4" w:rsidRDefault="00530A04" w:rsidP="000C5051">
      <w:pPr>
        <w:pStyle w:val="ListParagraph"/>
        <w:numPr>
          <w:ilvl w:val="0"/>
          <w:numId w:val="3"/>
        </w:numPr>
        <w:spacing w:before="120" w:after="120"/>
        <w:jc w:val="both"/>
        <w:rPr>
          <w:rFonts w:ascii="Tahoma" w:hAnsi="Tahoma" w:cs="Tahoma"/>
          <w:lang w:val="it-IT"/>
        </w:rPr>
      </w:pPr>
      <w:r w:rsidRPr="0002287B">
        <w:rPr>
          <w:rFonts w:ascii="Tahoma" w:hAnsi="Tahoma" w:cs="Tahoma"/>
          <w:lang w:val="it-IT"/>
        </w:rPr>
        <w:t>la Licenza Idonea è la licenza software che può essere distribuita con una Soluzione Unificata aggiornata.</w:t>
      </w:r>
    </w:p>
    <w:p w:rsidR="00D549E9" w:rsidRPr="00DC65B4" w:rsidRDefault="00D549E9" w:rsidP="008F4C47">
      <w:pPr>
        <w:spacing w:before="120" w:after="120"/>
        <w:jc w:val="both"/>
        <w:rPr>
          <w:rFonts w:ascii="Tahoma" w:hAnsi="Tahoma" w:cs="Tahoma"/>
          <w:lang w:val="it-IT"/>
        </w:rPr>
      </w:pPr>
    </w:p>
    <w:p w:rsidR="00D549E9" w:rsidRPr="00DC65B4" w:rsidRDefault="00C744D4" w:rsidP="008F4C47">
      <w:pPr>
        <w:spacing w:before="120" w:after="120"/>
        <w:jc w:val="both"/>
        <w:rPr>
          <w:rFonts w:ascii="Tahoma" w:hAnsi="Tahoma" w:cs="Tahoma"/>
          <w:b/>
          <w:szCs w:val="16"/>
          <w:lang w:val="it-IT"/>
        </w:rPr>
      </w:pPr>
      <w:r w:rsidRPr="00DC65B4">
        <w:rPr>
          <w:rStyle w:val="Hyperlink"/>
          <w:rFonts w:ascii="Tahoma" w:hAnsi="Tahoma" w:cs="Tahoma"/>
          <w:b/>
          <w:color w:val="auto"/>
          <w:u w:val="none"/>
          <w:lang w:val="it-IT"/>
        </w:rPr>
        <w:t>Microsoft</w:t>
      </w:r>
      <w:r w:rsidRPr="00DC65B4">
        <w:rPr>
          <w:rStyle w:val="Hyperlink"/>
          <w:rFonts w:ascii="Tahoma" w:hAnsi="Tahoma" w:cs="Tahoma"/>
          <w:b/>
          <w:color w:val="auto"/>
          <w:u w:val="none"/>
          <w:vertAlign w:val="superscript"/>
          <w:lang w:val="it-IT"/>
        </w:rPr>
        <w:t>®</w:t>
      </w:r>
      <w:r w:rsidRPr="00DC65B4">
        <w:rPr>
          <w:rStyle w:val="Hyperlink"/>
          <w:rFonts w:ascii="Tahoma" w:hAnsi="Tahoma" w:cs="Tahoma"/>
          <w:b/>
          <w:color w:val="auto"/>
          <w:u w:val="none"/>
          <w:lang w:val="it-IT"/>
        </w:rPr>
        <w:t xml:space="preserve"> </w:t>
      </w:r>
      <w:r w:rsidRPr="00DC65B4">
        <w:rPr>
          <w:rFonts w:ascii="Tahoma" w:hAnsi="Tahoma" w:cs="Tahoma"/>
          <w:b/>
          <w:lang w:val="it-IT"/>
        </w:rPr>
        <w:t>Office, Office Performance Point e Office Communications Server</w:t>
      </w:r>
    </w:p>
    <w:p w:rsidR="00D549E9" w:rsidRPr="004B2C30" w:rsidRDefault="00D549E9" w:rsidP="008F4C47">
      <w:pPr>
        <w:rPr>
          <w:rFonts w:ascii="Tahoma" w:hAnsi="Tahoma" w:cs="Tahoma"/>
          <w:sz w:val="16"/>
          <w:szCs w:val="12"/>
          <w:lang w:val="it-IT"/>
        </w:rPr>
      </w:pPr>
      <w:r w:rsidRPr="0002287B">
        <w:rPr>
          <w:rFonts w:ascii="Tahoma" w:hAnsi="Tahoma" w:cs="Tahoma"/>
          <w:sz w:val="16"/>
          <w:szCs w:val="12"/>
          <w:lang w:val="it-IT"/>
        </w:rPr>
        <w:t>Nota:</w:t>
      </w:r>
      <w:r w:rsidRPr="004B2C30">
        <w:rPr>
          <w:rFonts w:ascii="Tahoma" w:hAnsi="Tahoma" w:cs="Tahoma"/>
          <w:sz w:val="16"/>
          <w:szCs w:val="12"/>
          <w:lang w:val="it-IT"/>
        </w:rPr>
        <w:t xml:space="preserve"> </w:t>
      </w:r>
      <w:r w:rsidR="00530A04" w:rsidRPr="0002287B">
        <w:rPr>
          <w:rFonts w:ascii="Tahoma" w:hAnsi="Tahoma" w:cs="Tahoma"/>
          <w:sz w:val="16"/>
          <w:lang w:val="it-IT"/>
        </w:rPr>
        <w:t>Le CAL/EC per OCS 2007 sono sostituite da Cal/EC per Lync Server dello stesso livello (Std</w:t>
      </w:r>
      <w:r w:rsidR="00530A04" w:rsidRPr="0002287B">
        <w:rPr>
          <w:rFonts w:ascii="Tahoma" w:hAnsi="Tahoma" w:cs="Tahoma"/>
          <w:sz w:val="16"/>
          <w:szCs w:val="16"/>
          <w:lang w:val="it-IT"/>
        </w:rPr>
        <w:sym w:font="Wingdings" w:char="F0E0"/>
      </w:r>
      <w:r w:rsidR="00530A04" w:rsidRPr="0002287B">
        <w:rPr>
          <w:rFonts w:ascii="Tahoma" w:hAnsi="Tahoma" w:cs="Tahoma"/>
          <w:sz w:val="16"/>
          <w:lang w:val="it-IT"/>
        </w:rPr>
        <w:t xml:space="preserve"> Std, Ent</w:t>
      </w:r>
      <w:r w:rsidR="00530A04" w:rsidRPr="0002287B">
        <w:rPr>
          <w:rFonts w:ascii="Tahoma" w:hAnsi="Tahoma" w:cs="Tahoma"/>
          <w:sz w:val="16"/>
          <w:szCs w:val="16"/>
          <w:lang w:val="it-IT"/>
        </w:rPr>
        <w:sym w:font="Wingdings" w:char="F0E0"/>
      </w:r>
      <w:r w:rsidR="00530A04" w:rsidRPr="0002287B">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02287B"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02287B" w:rsidRDefault="00530A04" w:rsidP="009971BE">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02287B" w:rsidRDefault="00530A04" w:rsidP="00F77BD0">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597957" w:rsidRPr="0002287B" w:rsidTr="008F4C47">
        <w:tc>
          <w:tcPr>
            <w:tcW w:w="6300" w:type="dxa"/>
            <w:tcBorders>
              <w:top w:val="single" w:sz="4" w:space="0" w:color="F79646"/>
              <w:left w:val="single" w:sz="4" w:space="0" w:color="F79646"/>
              <w:bottom w:val="single" w:sz="4" w:space="0" w:color="F79646"/>
              <w:right w:val="single" w:sz="4" w:space="0" w:color="F79646"/>
            </w:tcBorders>
          </w:tcPr>
          <w:p w:rsidR="00597957" w:rsidRPr="0002287B" w:rsidRDefault="00DD7BAC" w:rsidP="009971BE">
            <w:pPr>
              <w:pStyle w:val="FootnoteBulletLevel1"/>
              <w:tabs>
                <w:tab w:val="clear" w:pos="900"/>
              </w:tabs>
              <w:spacing w:before="0" w:after="0"/>
              <w:ind w:left="0" w:firstLine="0"/>
              <w:rPr>
                <w:rStyle w:val="Hyperlink"/>
                <w:rFonts w:ascii="Tahoma" w:hAnsi="Tahoma" w:cs="Tahoma"/>
                <w:bCs/>
                <w:iCs/>
                <w:color w:val="000000" w:themeColor="text1"/>
                <w:sz w:val="16"/>
                <w:szCs w:val="16"/>
                <w:u w:val="none"/>
              </w:rPr>
            </w:pPr>
            <w:r w:rsidRPr="0002287B">
              <w:rPr>
                <w:rFonts w:ascii="Tahoma" w:hAnsi="Tahoma" w:cs="Tahoma"/>
                <w:color w:val="000000" w:themeColor="text1"/>
                <w:sz w:val="16"/>
                <w:lang w:val="it-IT"/>
              </w:rPr>
              <w:t>Microsoft</w:t>
            </w:r>
            <w:r w:rsidRPr="0002287B">
              <w:rPr>
                <w:rFonts w:ascii="Tahoma" w:hAnsi="Tahoma" w:cs="Tahoma"/>
                <w:color w:val="000000" w:themeColor="text1"/>
                <w:sz w:val="16"/>
                <w:vertAlign w:val="superscript"/>
                <w:lang w:val="it-IT"/>
              </w:rPr>
              <w:t>®</w:t>
            </w:r>
            <w:r w:rsidRPr="0002287B">
              <w:rPr>
                <w:rFonts w:ascii="Tahoma" w:hAnsi="Tahoma" w:cs="Tahoma"/>
                <w:color w:val="000000" w:themeColor="text1"/>
                <w:sz w:val="16"/>
                <w:lang w:val="it-IT"/>
              </w:rPr>
              <w:t xml:space="preserve"> Visio</w:t>
            </w:r>
            <w:r w:rsidRPr="0002287B">
              <w:rPr>
                <w:rFonts w:ascii="Tahoma" w:hAnsi="Tahoma" w:cs="Tahoma"/>
                <w:color w:val="000000" w:themeColor="text1"/>
                <w:sz w:val="16"/>
                <w:vertAlign w:val="superscript"/>
                <w:lang w:val="it-IT"/>
              </w:rPr>
              <w:t>®</w:t>
            </w:r>
            <w:r w:rsidRPr="0002287B">
              <w:rPr>
                <w:rFonts w:ascii="Tahoma" w:hAnsi="Tahoma" w:cs="Tahoma"/>
                <w:color w:val="000000" w:themeColor="text1"/>
                <w:sz w:val="16"/>
                <w:lang w:val="it-IT"/>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02287B" w:rsidDel="00597957" w:rsidRDefault="00DD7BAC" w:rsidP="009971BE">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pt-BR"/>
              </w:rPr>
            </w:pPr>
            <w:r w:rsidRPr="0002287B">
              <w:rPr>
                <w:rFonts w:ascii="Tahoma" w:hAnsi="Tahoma" w:cs="Tahoma"/>
                <w:color w:val="000000" w:themeColor="text1"/>
                <w:sz w:val="16"/>
                <w:lang w:val="it-IT"/>
              </w:rPr>
              <w:t>Microsoft</w:t>
            </w:r>
            <w:r w:rsidRPr="0002287B">
              <w:rPr>
                <w:rFonts w:ascii="Tahoma" w:hAnsi="Tahoma" w:cs="Tahoma"/>
                <w:color w:val="000000" w:themeColor="text1"/>
                <w:sz w:val="16"/>
                <w:vertAlign w:val="superscript"/>
                <w:lang w:val="it-IT"/>
              </w:rPr>
              <w:t>®</w:t>
            </w:r>
            <w:r w:rsidRPr="0002287B">
              <w:rPr>
                <w:rFonts w:ascii="Tahoma" w:hAnsi="Tahoma" w:cs="Tahoma"/>
                <w:color w:val="000000" w:themeColor="text1"/>
                <w:sz w:val="16"/>
                <w:lang w:val="it-IT"/>
              </w:rPr>
              <w:t xml:space="preserve"> Visio</w:t>
            </w:r>
            <w:r w:rsidRPr="0002287B">
              <w:rPr>
                <w:rFonts w:ascii="Tahoma" w:hAnsi="Tahoma" w:cs="Tahoma"/>
                <w:color w:val="000000" w:themeColor="text1"/>
                <w:sz w:val="16"/>
                <w:vertAlign w:val="superscript"/>
                <w:lang w:val="it-IT"/>
              </w:rPr>
              <w:t>®</w:t>
            </w:r>
            <w:r w:rsidRPr="0002287B">
              <w:rPr>
                <w:rFonts w:ascii="Tahoma" w:hAnsi="Tahoma" w:cs="Tahoma"/>
                <w:color w:val="000000" w:themeColor="text1"/>
                <w:sz w:val="16"/>
                <w:lang w:val="it-IT"/>
              </w:rPr>
              <w:t xml:space="preserve"> Professional 2013</w:t>
            </w:r>
          </w:p>
        </w:tc>
      </w:tr>
      <w:tr w:rsidR="00F77BD0" w:rsidRPr="0002287B"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02287B" w:rsidRDefault="00DD7BAC" w:rsidP="009971BE">
            <w:pPr>
              <w:rPr>
                <w:rFonts w:ascii="Tahoma" w:hAnsi="Tahoma" w:cs="Tahoma"/>
                <w:bCs/>
                <w:color w:val="000000" w:themeColor="text1"/>
                <w:sz w:val="16"/>
                <w:szCs w:val="16"/>
              </w:rPr>
            </w:pPr>
            <w:r w:rsidRPr="004B2C30">
              <w:rPr>
                <w:rFonts w:ascii="Tahoma" w:hAnsi="Tahoma" w:cs="Tahoma"/>
                <w:color w:val="000000" w:themeColor="text1"/>
                <w:sz w:val="16"/>
              </w:rPr>
              <w:t>Microsoft</w:t>
            </w:r>
            <w:r w:rsidRPr="004B2C30">
              <w:rPr>
                <w:rStyle w:val="Hyperlink"/>
                <w:rFonts w:ascii="Tahoma" w:hAnsi="Tahoma" w:cs="Tahoma"/>
                <w:color w:val="000000" w:themeColor="text1"/>
                <w:sz w:val="16"/>
                <w:vertAlign w:val="superscript"/>
              </w:rPr>
              <w:t>®</w:t>
            </w:r>
            <w:r w:rsidRPr="004B2C30">
              <w:rPr>
                <w:rFonts w:ascii="Tahoma" w:hAnsi="Tahoma" w:cs="Tahoma"/>
                <w:color w:val="000000" w:themeColor="text1"/>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02287B" w:rsidRDefault="00DD7BAC" w:rsidP="009971BE">
            <w:pPr>
              <w:rPr>
                <w:rStyle w:val="Hyperlink"/>
                <w:rFonts w:ascii="Tahoma" w:hAnsi="Tahoma" w:cs="Tahoma"/>
                <w:bCs/>
                <w:iCs/>
                <w:color w:val="000000" w:themeColor="text1"/>
                <w:sz w:val="16"/>
                <w:szCs w:val="16"/>
                <w:u w:val="none"/>
                <w:lang w:val="pt-BR"/>
              </w:rPr>
            </w:pPr>
            <w:r w:rsidRPr="0002287B">
              <w:rPr>
                <w:rStyle w:val="Hyperlink"/>
                <w:rFonts w:ascii="Tahoma" w:hAnsi="Tahoma" w:cs="Tahoma"/>
                <w:color w:val="000000" w:themeColor="text1"/>
                <w:sz w:val="16"/>
                <w:u w:val="none"/>
                <w:lang w:val="it-IT"/>
              </w:rPr>
              <w:t>Microsoft</w:t>
            </w:r>
            <w:r w:rsidRPr="0002287B">
              <w:rPr>
                <w:rStyle w:val="Hyperlink"/>
                <w:rFonts w:ascii="Tahoma" w:hAnsi="Tahoma" w:cs="Tahoma"/>
                <w:color w:val="000000" w:themeColor="text1"/>
                <w:sz w:val="16"/>
                <w:u w:val="none"/>
                <w:vertAlign w:val="superscript"/>
                <w:lang w:val="it-IT"/>
              </w:rPr>
              <w:t>®</w:t>
            </w:r>
            <w:r w:rsidRPr="0002287B">
              <w:rPr>
                <w:rStyle w:val="Hyperlink"/>
                <w:rFonts w:ascii="Tahoma" w:hAnsi="Tahoma" w:cs="Tahoma"/>
                <w:color w:val="000000" w:themeColor="text1"/>
                <w:sz w:val="16"/>
                <w:u w:val="none"/>
                <w:lang w:val="it-IT"/>
              </w:rPr>
              <w:t xml:space="preserve"> SharePoint Enterprise 2010</w:t>
            </w:r>
          </w:p>
        </w:tc>
      </w:tr>
      <w:tr w:rsidR="00F77BD0"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02287B" w:rsidRDefault="00DD7BAC" w:rsidP="009971BE">
            <w:pPr>
              <w:rPr>
                <w:rFonts w:ascii="Tahoma" w:hAnsi="Tahoma" w:cs="Tahoma"/>
                <w:bCs/>
                <w:color w:val="000000" w:themeColor="text1"/>
                <w:sz w:val="16"/>
                <w:szCs w:val="16"/>
              </w:rPr>
            </w:pPr>
            <w:r w:rsidRPr="004B2C30">
              <w:rPr>
                <w:rFonts w:ascii="Tahoma" w:hAnsi="Tahoma" w:cs="Tahoma"/>
                <w:color w:val="000000" w:themeColor="text1"/>
                <w:sz w:val="16"/>
              </w:rPr>
              <w:t>Microsoft</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02287B" w:rsidRDefault="00DD7BAC" w:rsidP="00BF6321">
            <w:pPr>
              <w:rPr>
                <w:rStyle w:val="Hyperlink"/>
                <w:rFonts w:ascii="Tahoma" w:hAnsi="Tahoma" w:cs="Tahoma"/>
                <w:bCs/>
                <w:iCs/>
                <w:color w:val="000000" w:themeColor="text1"/>
                <w:sz w:val="16"/>
                <w:szCs w:val="16"/>
                <w:u w:val="none"/>
              </w:rPr>
            </w:pPr>
            <w:r w:rsidRPr="004B2C30">
              <w:rPr>
                <w:rFonts w:ascii="Tahoma" w:hAnsi="Tahoma" w:cs="Tahoma"/>
                <w:color w:val="000000" w:themeColor="text1"/>
                <w:sz w:val="16"/>
              </w:rPr>
              <w:t>Microsoft</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Lync</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Server 2013 Standard Edition</w:t>
            </w:r>
          </w:p>
        </w:tc>
      </w:tr>
      <w:tr w:rsidR="00F77BD0"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02287B" w:rsidRDefault="00DD7BAC" w:rsidP="009971BE">
            <w:pPr>
              <w:rPr>
                <w:rFonts w:ascii="Tahoma" w:hAnsi="Tahoma" w:cs="Tahoma"/>
                <w:bCs/>
                <w:color w:val="000000" w:themeColor="text1"/>
                <w:sz w:val="16"/>
                <w:szCs w:val="16"/>
              </w:rPr>
            </w:pPr>
            <w:r w:rsidRPr="004B2C30">
              <w:rPr>
                <w:rFonts w:ascii="Tahoma" w:hAnsi="Tahoma" w:cs="Tahoma"/>
                <w:color w:val="000000" w:themeColor="text1"/>
                <w:sz w:val="16"/>
              </w:rPr>
              <w:t>Microsoft</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02287B" w:rsidRDefault="00DD7BAC" w:rsidP="00BF6321">
            <w:pPr>
              <w:rPr>
                <w:rStyle w:val="Hyperlink"/>
                <w:rFonts w:ascii="Tahoma" w:hAnsi="Tahoma" w:cs="Tahoma"/>
                <w:bCs/>
                <w:iCs/>
                <w:color w:val="000000" w:themeColor="text1"/>
                <w:sz w:val="16"/>
                <w:szCs w:val="16"/>
                <w:u w:val="none"/>
                <w:lang w:val="pt-BR"/>
              </w:rPr>
            </w:pPr>
            <w:r w:rsidRPr="004B2C30">
              <w:rPr>
                <w:rFonts w:ascii="Tahoma" w:hAnsi="Tahoma" w:cs="Tahoma"/>
                <w:color w:val="000000" w:themeColor="text1"/>
                <w:sz w:val="16"/>
              </w:rPr>
              <w:t>Microsoft</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Lync</w:t>
            </w:r>
            <w:r w:rsidRPr="004B2C30">
              <w:rPr>
                <w:rFonts w:ascii="Tahoma" w:hAnsi="Tahoma" w:cs="Tahoma"/>
                <w:color w:val="000000" w:themeColor="text1"/>
                <w:sz w:val="16"/>
                <w:vertAlign w:val="superscript"/>
              </w:rPr>
              <w:t>®</w:t>
            </w:r>
            <w:r w:rsidRPr="004B2C30">
              <w:rPr>
                <w:rFonts w:ascii="Tahoma" w:hAnsi="Tahoma" w:cs="Tahoma"/>
                <w:color w:val="000000" w:themeColor="text1"/>
                <w:sz w:val="16"/>
              </w:rPr>
              <w:t xml:space="preserve"> Server 2013 Enterprise Edition</w:t>
            </w:r>
          </w:p>
        </w:tc>
      </w:tr>
    </w:tbl>
    <w:p w:rsidR="00294CBF" w:rsidRPr="0002287B" w:rsidRDefault="00294CBF" w:rsidP="00F77BD0">
      <w:pPr>
        <w:rPr>
          <w:rFonts w:ascii="Tahoma" w:hAnsi="Tahoma" w:cs="Tahoma"/>
          <w:sz w:val="16"/>
          <w:szCs w:val="12"/>
        </w:rPr>
      </w:pPr>
    </w:p>
    <w:p w:rsidR="006F2741" w:rsidRPr="0002287B" w:rsidRDefault="00DD7BAC" w:rsidP="00F77BD0">
      <w:pPr>
        <w:rPr>
          <w:rFonts w:ascii="Tahoma" w:hAnsi="Tahoma" w:cs="Tahoma"/>
          <w:sz w:val="16"/>
        </w:rPr>
      </w:pPr>
      <w:r w:rsidRPr="0002287B">
        <w:rPr>
          <w:rFonts w:ascii="Tahoma" w:hAnsi="Tahoma" w:cs="Tahoma"/>
          <w:b/>
          <w:lang w:val="it-IT"/>
        </w:rPr>
        <w:t>SQL Server</w:t>
      </w:r>
      <w:r w:rsidRPr="0002287B">
        <w:rPr>
          <w:rFonts w:ascii="Tahoma" w:hAnsi="Tahoma" w:cs="Tahoma"/>
          <w:b/>
          <w:vertAlign w:val="superscript"/>
          <w:lang w:val="it-I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02287B"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02287B" w:rsidRDefault="00530A04" w:rsidP="00294CBF">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02287B" w:rsidRDefault="00530A04" w:rsidP="00294CBF">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294CBF" w:rsidRPr="00402CFD" w:rsidTr="008F4C47">
        <w:tc>
          <w:tcPr>
            <w:tcW w:w="6300" w:type="dxa"/>
            <w:tcBorders>
              <w:top w:val="single" w:sz="4" w:space="0" w:color="F79646"/>
              <w:left w:val="single" w:sz="4" w:space="0" w:color="F79646"/>
              <w:bottom w:val="single" w:sz="4" w:space="0" w:color="F79646"/>
              <w:right w:val="single" w:sz="4" w:space="0" w:color="F79646"/>
            </w:tcBorders>
          </w:tcPr>
          <w:p w:rsidR="00294CBF" w:rsidRPr="00DC65B4" w:rsidRDefault="00DD7BAC" w:rsidP="008F4C47">
            <w:pPr>
              <w:rPr>
                <w:rFonts w:ascii="Tahoma" w:hAnsi="Tahoma" w:cs="Tahoma"/>
                <w:bCs/>
                <w:color w:val="000000" w:themeColor="text1"/>
                <w:sz w:val="16"/>
                <w:szCs w:val="19"/>
                <w:lang w:val="it-IT"/>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DC65B4" w:rsidRDefault="00DD7BAC" w:rsidP="008F4C47">
            <w:pPr>
              <w:rPr>
                <w:rFonts w:ascii="Tahoma" w:hAnsi="Tahoma" w:cs="Tahoma"/>
                <w:bCs/>
                <w:color w:val="000000" w:themeColor="text1"/>
                <w:sz w:val="16"/>
                <w:szCs w:val="19"/>
                <w:lang w:val="it-IT"/>
              </w:rPr>
            </w:pPr>
            <w:r w:rsidRPr="0002287B">
              <w:rPr>
                <w:rFonts w:ascii="Tahoma" w:hAnsi="Tahoma" w:cs="Tahoma"/>
                <w:color w:val="000000" w:themeColor="text1"/>
                <w:sz w:val="16"/>
                <w:lang w:val="it-IT"/>
              </w:rPr>
              <w:t>Otto (8)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Enterprise Core</w:t>
            </w:r>
            <w:r w:rsidRPr="0002287B">
              <w:rPr>
                <w:rFonts w:ascii="Tahoma" w:hAnsi="Tahoma" w:cs="Tahoma"/>
                <w:color w:val="000000" w:themeColor="text1"/>
                <w:sz w:val="16"/>
                <w:vertAlign w:val="superscript"/>
                <w:lang w:val="it-IT"/>
              </w:rPr>
              <w:t>1,2,3</w:t>
            </w:r>
          </w:p>
        </w:tc>
      </w:tr>
      <w:tr w:rsidR="00294CBF" w:rsidRPr="00402CFD" w:rsidTr="008F4C47">
        <w:tc>
          <w:tcPr>
            <w:tcW w:w="6300" w:type="dxa"/>
            <w:tcBorders>
              <w:top w:val="single" w:sz="4" w:space="0" w:color="F79646"/>
              <w:left w:val="single" w:sz="4" w:space="0" w:color="F79646"/>
              <w:bottom w:val="single" w:sz="4" w:space="0" w:color="F79646"/>
              <w:right w:val="single" w:sz="4" w:space="0" w:color="F79646"/>
            </w:tcBorders>
          </w:tcPr>
          <w:p w:rsidR="00294CBF" w:rsidRPr="0002287B" w:rsidRDefault="00DD7BAC" w:rsidP="008F4C47">
            <w:pPr>
              <w:rPr>
                <w:rFonts w:ascii="Tahoma" w:hAnsi="Tahoma" w:cs="Tahoma"/>
                <w:bCs/>
                <w:color w:val="000000" w:themeColor="text1"/>
                <w:sz w:val="16"/>
                <w:szCs w:val="19"/>
                <w:lang w:val="pt-BR"/>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4B2C30" w:rsidRDefault="00DD7BAC" w:rsidP="008F4C47">
            <w:pPr>
              <w:rPr>
                <w:rFonts w:ascii="Tahoma" w:hAnsi="Tahoma" w:cs="Tahoma"/>
                <w:bCs/>
                <w:color w:val="000000" w:themeColor="text1"/>
                <w:sz w:val="16"/>
                <w:szCs w:val="19"/>
                <w:lang w:val="it-IT"/>
              </w:rPr>
            </w:pPr>
            <w:r w:rsidRPr="0002287B">
              <w:rPr>
                <w:rFonts w:ascii="Tahoma" w:hAnsi="Tahoma" w:cs="Tahoma"/>
                <w:color w:val="000000" w:themeColor="text1"/>
                <w:sz w:val="16"/>
                <w:lang w:val="it-IT"/>
              </w:rPr>
              <w:t>Quattro (4)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Enterprise Core</w:t>
            </w:r>
            <w:r w:rsidRPr="0002287B">
              <w:rPr>
                <w:rFonts w:ascii="Tahoma" w:hAnsi="Tahoma" w:cs="Tahoma"/>
                <w:color w:val="000000" w:themeColor="text1"/>
                <w:sz w:val="16"/>
                <w:vertAlign w:val="superscript"/>
                <w:lang w:val="it-IT"/>
              </w:rPr>
              <w:t>1,2,3</w:t>
            </w:r>
          </w:p>
        </w:tc>
      </w:tr>
      <w:tr w:rsidR="00294CBF" w:rsidRPr="0002287B" w:rsidTr="008F4C47">
        <w:tc>
          <w:tcPr>
            <w:tcW w:w="6300" w:type="dxa"/>
            <w:tcBorders>
              <w:top w:val="single" w:sz="4" w:space="0" w:color="F79646"/>
              <w:left w:val="single" w:sz="4" w:space="0" w:color="F79646"/>
              <w:bottom w:val="single" w:sz="4" w:space="0" w:color="F79646"/>
              <w:right w:val="single" w:sz="4" w:space="0" w:color="F79646"/>
            </w:tcBorders>
          </w:tcPr>
          <w:p w:rsidR="00294CBF" w:rsidRPr="0002287B" w:rsidRDefault="00DD7BAC" w:rsidP="00294CBF">
            <w:pPr>
              <w:rPr>
                <w:rFonts w:ascii="Tahoma" w:hAnsi="Tahoma" w:cs="Tahoma"/>
                <w:bCs/>
                <w:color w:val="000000" w:themeColor="text1"/>
                <w:sz w:val="16"/>
                <w:szCs w:val="19"/>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02287B" w:rsidRDefault="00DD7BAC">
            <w:pPr>
              <w:rPr>
                <w:rFonts w:ascii="Tahoma" w:hAnsi="Tahoma" w:cs="Tahoma"/>
                <w:color w:val="000000" w:themeColor="text1"/>
                <w:szCs w:val="19"/>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Enterprise Server</w:t>
            </w:r>
            <w:r w:rsidRPr="0002287B">
              <w:rPr>
                <w:rFonts w:ascii="Tahoma" w:hAnsi="Tahoma" w:cs="Tahoma"/>
                <w:color w:val="000000" w:themeColor="text1"/>
                <w:sz w:val="16"/>
                <w:vertAlign w:val="superscript"/>
                <w:lang w:val="it-IT"/>
              </w:rPr>
              <w:t>2</w:t>
            </w:r>
          </w:p>
        </w:tc>
      </w:tr>
      <w:tr w:rsidR="00294CBF" w:rsidRPr="00402CF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4B2C30" w:rsidRDefault="00DD7BAC" w:rsidP="00294CBF">
            <w:pPr>
              <w:rPr>
                <w:rFonts w:ascii="Tahoma" w:hAnsi="Tahoma" w:cs="Tahoma"/>
                <w:bCs/>
                <w:color w:val="000000" w:themeColor="text1"/>
                <w:sz w:val="16"/>
                <w:szCs w:val="19"/>
                <w:lang w:val="it-IT"/>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DC65B4" w:rsidRDefault="00DD7BAC" w:rsidP="00294CBF">
            <w:pPr>
              <w:rPr>
                <w:rFonts w:ascii="Tahoma" w:hAnsi="Tahoma" w:cs="Tahoma"/>
                <w:color w:val="000000" w:themeColor="text1"/>
                <w:szCs w:val="19"/>
                <w:lang w:val="it-IT"/>
              </w:rPr>
            </w:pPr>
            <w:r w:rsidRPr="0002287B">
              <w:rPr>
                <w:rFonts w:ascii="Tahoma" w:hAnsi="Tahoma" w:cs="Tahoma"/>
                <w:color w:val="000000" w:themeColor="text1"/>
                <w:sz w:val="16"/>
                <w:lang w:val="it-IT"/>
              </w:rPr>
              <w:t>Quattro (4)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Standard Core</w:t>
            </w:r>
            <w:r w:rsidRPr="0002287B">
              <w:rPr>
                <w:rFonts w:ascii="Tahoma" w:hAnsi="Tahoma" w:cs="Tahoma"/>
                <w:color w:val="000000" w:themeColor="text1"/>
                <w:sz w:val="16"/>
                <w:vertAlign w:val="superscript"/>
                <w:lang w:val="it-IT"/>
              </w:rPr>
              <w:t>1,3</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02287B" w:rsidRDefault="00DD7BAC" w:rsidP="00294CBF">
            <w:pPr>
              <w:rPr>
                <w:rFonts w:ascii="Tahoma" w:hAnsi="Tahoma" w:cs="Tahoma"/>
                <w:bCs/>
                <w:color w:val="000000" w:themeColor="text1"/>
                <w:sz w:val="16"/>
                <w:szCs w:val="19"/>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02287B" w:rsidRDefault="00DD7BAC">
            <w:pPr>
              <w:rPr>
                <w:rFonts w:ascii="Tahoma" w:hAnsi="Tahoma" w:cs="Tahoma"/>
                <w:color w:val="000000" w:themeColor="text1"/>
                <w:szCs w:val="19"/>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Standard Server</w:t>
            </w:r>
          </w:p>
        </w:tc>
      </w:tr>
      <w:tr w:rsidR="00294CBF" w:rsidRPr="00402CF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02287B" w:rsidRDefault="00DD7BAC" w:rsidP="00294CBF">
            <w:pPr>
              <w:rPr>
                <w:rFonts w:ascii="Tahoma" w:hAnsi="Tahoma" w:cs="Tahoma"/>
                <w:bCs/>
                <w:color w:val="000000" w:themeColor="text1"/>
                <w:sz w:val="16"/>
                <w:szCs w:val="19"/>
              </w:rPr>
            </w:pPr>
            <w:r w:rsidRPr="004B2C30">
              <w:rPr>
                <w:rFonts w:ascii="Tahoma" w:hAnsi="Tahoma" w:cs="Tahoma"/>
                <w:color w:val="000000" w:themeColor="text1"/>
                <w:sz w:val="16"/>
              </w:rPr>
              <w:t>Un (1) SQL Server</w:t>
            </w:r>
            <w:r w:rsidRPr="004B2C30">
              <w:rPr>
                <w:rStyle w:val="Hyperlink"/>
                <w:rFonts w:ascii="Tahoma" w:hAnsi="Tahoma" w:cs="Tahoma"/>
                <w:color w:val="000000" w:themeColor="text1"/>
                <w:sz w:val="16"/>
                <w:u w:val="none"/>
                <w:vertAlign w:val="superscript"/>
              </w:rPr>
              <w:t>®</w:t>
            </w:r>
            <w:r w:rsidRPr="004B2C30">
              <w:rPr>
                <w:rFonts w:ascii="Tahoma" w:hAnsi="Tahoma" w:cs="Tahoma"/>
                <w:color w:val="000000" w:themeColor="text1"/>
                <w:sz w:val="16"/>
              </w:rPr>
              <w:t xml:space="preserve"> Workgroup (</w:t>
            </w:r>
            <w:proofErr w:type="spellStart"/>
            <w:r w:rsidRPr="004B2C30">
              <w:rPr>
                <w:rFonts w:ascii="Tahoma" w:hAnsi="Tahoma" w:cs="Tahoma"/>
                <w:color w:val="000000" w:themeColor="text1"/>
                <w:sz w:val="16"/>
              </w:rPr>
              <w:t>Processore</w:t>
            </w:r>
            <w:proofErr w:type="spellEnd"/>
            <w:r w:rsidRPr="004B2C30">
              <w:rPr>
                <w:rFonts w:ascii="Tahoma" w:hAnsi="Tahoma" w:cs="Tahoma"/>
                <w:color w:val="000000" w:themeColor="text1"/>
                <w:sz w:val="16"/>
              </w:rPr>
              <w:t>)</w:t>
            </w:r>
          </w:p>
        </w:tc>
        <w:tc>
          <w:tcPr>
            <w:tcW w:w="4590" w:type="dxa"/>
            <w:tcBorders>
              <w:top w:val="single" w:sz="4" w:space="0" w:color="F79646"/>
              <w:left w:val="single" w:sz="4" w:space="0" w:color="F79646"/>
              <w:bottom w:val="single" w:sz="4" w:space="0" w:color="F79646"/>
              <w:right w:val="single" w:sz="4" w:space="0" w:color="F79646"/>
            </w:tcBorders>
          </w:tcPr>
          <w:p w:rsidR="00294CBF" w:rsidRPr="00DC65B4" w:rsidRDefault="00DD7BAC" w:rsidP="00294CBF">
            <w:pPr>
              <w:rPr>
                <w:rFonts w:ascii="Tahoma" w:hAnsi="Tahoma" w:cs="Tahoma"/>
                <w:bCs/>
                <w:color w:val="000000" w:themeColor="text1"/>
                <w:sz w:val="16"/>
                <w:szCs w:val="19"/>
                <w:lang w:val="it-IT"/>
              </w:rPr>
            </w:pPr>
            <w:r w:rsidRPr="0002287B">
              <w:rPr>
                <w:rFonts w:ascii="Tahoma" w:hAnsi="Tahoma" w:cs="Tahoma"/>
                <w:color w:val="000000" w:themeColor="text1"/>
                <w:sz w:val="16"/>
                <w:lang w:val="it-IT"/>
              </w:rPr>
              <w:t>Quattro (4)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Standard Core</w:t>
            </w:r>
            <w:r w:rsidRPr="0002287B">
              <w:rPr>
                <w:rFonts w:ascii="Tahoma" w:hAnsi="Tahoma" w:cs="Tahoma"/>
                <w:color w:val="000000" w:themeColor="text1"/>
                <w:sz w:val="16"/>
                <w:vertAlign w:val="superscript"/>
                <w:lang w:val="it-IT"/>
              </w:rPr>
              <w:t>1,3</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02287B" w:rsidRDefault="00DD7BAC" w:rsidP="00294CBF">
            <w:pPr>
              <w:rPr>
                <w:rFonts w:ascii="Tahoma" w:hAnsi="Tahoma" w:cs="Tahoma"/>
                <w:bCs/>
                <w:color w:val="000000" w:themeColor="text1"/>
                <w:sz w:val="16"/>
                <w:szCs w:val="19"/>
              </w:rPr>
            </w:pPr>
            <w:r w:rsidRPr="004B2C30">
              <w:rPr>
                <w:rFonts w:ascii="Tahoma" w:hAnsi="Tahoma" w:cs="Tahoma"/>
                <w:color w:val="000000" w:themeColor="text1"/>
                <w:sz w:val="16"/>
              </w:rPr>
              <w:t>Un (1) SQL Server</w:t>
            </w:r>
            <w:r w:rsidRPr="004B2C30">
              <w:rPr>
                <w:rStyle w:val="Hyperlink"/>
                <w:rFonts w:ascii="Tahoma" w:hAnsi="Tahoma" w:cs="Tahoma"/>
                <w:color w:val="000000" w:themeColor="text1"/>
                <w:sz w:val="16"/>
                <w:u w:val="none"/>
                <w:vertAlign w:val="superscript"/>
              </w:rPr>
              <w:t>®</w:t>
            </w:r>
            <w:r w:rsidRPr="004B2C30">
              <w:rPr>
                <w:rFonts w:ascii="Tahoma" w:hAnsi="Tahoma" w:cs="Tahoma"/>
                <w:color w:val="000000" w:themeColor="text1"/>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02287B" w:rsidRDefault="00DD7BAC" w:rsidP="00294CBF">
            <w:pPr>
              <w:rPr>
                <w:rFonts w:ascii="Tahoma" w:hAnsi="Tahoma" w:cs="Tahoma"/>
                <w:bCs/>
                <w:color w:val="000000" w:themeColor="text1"/>
                <w:sz w:val="16"/>
                <w:szCs w:val="19"/>
              </w:rPr>
            </w:pPr>
            <w:r w:rsidRPr="0002287B">
              <w:rPr>
                <w:rFonts w:ascii="Tahoma" w:hAnsi="Tahoma" w:cs="Tahoma"/>
                <w:color w:val="000000" w:themeColor="text1"/>
                <w:sz w:val="16"/>
                <w:lang w:val="it-IT"/>
              </w:rPr>
              <w:t>Un (1) SQL Server</w:t>
            </w:r>
            <w:r w:rsidRPr="0002287B">
              <w:rPr>
                <w:rStyle w:val="Hyperlink"/>
                <w:rFonts w:ascii="Tahoma" w:hAnsi="Tahoma" w:cs="Tahoma"/>
                <w:color w:val="000000" w:themeColor="text1"/>
                <w:sz w:val="16"/>
                <w:u w:val="none"/>
                <w:vertAlign w:val="superscript"/>
                <w:lang w:val="it-IT"/>
              </w:rPr>
              <w:t>®</w:t>
            </w:r>
            <w:r w:rsidRPr="0002287B">
              <w:rPr>
                <w:rFonts w:ascii="Tahoma" w:hAnsi="Tahoma" w:cs="Tahoma"/>
                <w:color w:val="000000" w:themeColor="text1"/>
                <w:sz w:val="16"/>
                <w:lang w:val="it-IT"/>
              </w:rPr>
              <w:t xml:space="preserve"> 2012 Standard Server</w:t>
            </w:r>
          </w:p>
        </w:tc>
      </w:tr>
    </w:tbl>
    <w:p w:rsidR="00294CBF" w:rsidRPr="0002287B" w:rsidRDefault="00294CBF" w:rsidP="00F77BD0">
      <w:pPr>
        <w:rPr>
          <w:rFonts w:ascii="Tahoma" w:hAnsi="Tahoma" w:cs="Tahoma"/>
          <w:sz w:val="16"/>
          <w:szCs w:val="12"/>
        </w:rPr>
      </w:pPr>
    </w:p>
    <w:p w:rsidR="006F2741" w:rsidRPr="00DC65B4" w:rsidRDefault="00FE08FB" w:rsidP="006F2741">
      <w:pPr>
        <w:rPr>
          <w:rFonts w:ascii="Tahoma" w:hAnsi="Tahoma" w:cs="Tahoma"/>
          <w:sz w:val="16"/>
          <w:szCs w:val="16"/>
          <w:lang w:val="it-IT"/>
        </w:rPr>
      </w:pPr>
      <w:r w:rsidRPr="0002287B">
        <w:rPr>
          <w:rFonts w:ascii="Tahoma" w:hAnsi="Tahoma" w:cs="Tahoma"/>
          <w:sz w:val="16"/>
          <w:vertAlign w:val="superscript"/>
          <w:lang w:val="it-IT"/>
        </w:rPr>
        <w:t>1</w:t>
      </w:r>
      <w:r w:rsidRPr="0002287B">
        <w:rPr>
          <w:rFonts w:ascii="Tahoma" w:hAnsi="Tahoma" w:cs="Tahoma"/>
          <w:sz w:val="16"/>
          <w:lang w:val="it-IT"/>
        </w:rPr>
        <w:t xml:space="preserve"> Qualora l</w:t>
      </w:r>
      <w:r w:rsidR="008E4F28" w:rsidRPr="0002287B">
        <w:rPr>
          <w:rFonts w:ascii="Tahoma" w:hAnsi="Tahoma" w:cs="Tahoma"/>
          <w:sz w:val="16"/>
          <w:lang w:val="it-IT"/>
        </w:rPr>
        <w:t>’</w:t>
      </w:r>
      <w:r w:rsidRPr="0002287B">
        <w:rPr>
          <w:rFonts w:ascii="Tahoma" w:hAnsi="Tahoma" w:cs="Tahoma"/>
          <w:sz w:val="16"/>
          <w:lang w:val="it-IT"/>
        </w:rPr>
        <w:t>Utente Finale esegua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w:t>
      </w:r>
      <w:r w:rsidR="008E4F28" w:rsidRPr="0002287B">
        <w:rPr>
          <w:rFonts w:ascii="Tahoma" w:hAnsi="Tahoma" w:cs="Tahoma"/>
          <w:sz w:val="16"/>
          <w:lang w:val="it-IT"/>
        </w:rPr>
        <w:t>“</w:t>
      </w:r>
      <w:r w:rsidRPr="0002287B">
        <w:rPr>
          <w:rFonts w:ascii="Tahoma" w:hAnsi="Tahoma" w:cs="Tahoma"/>
          <w:sz w:val="16"/>
          <w:lang w:val="it-IT"/>
        </w:rPr>
        <w:t>SQL</w:t>
      </w:r>
      <w:r w:rsidR="008E4F28" w:rsidRPr="0002287B">
        <w:rPr>
          <w:rFonts w:ascii="Tahoma" w:hAnsi="Tahoma" w:cs="Tahoma"/>
          <w:sz w:val="16"/>
          <w:lang w:val="it-IT"/>
        </w:rPr>
        <w:t>”</w:t>
      </w:r>
      <w:r w:rsidRPr="0002287B">
        <w:rPr>
          <w:rFonts w:ascii="Tahoma" w:hAnsi="Tahoma" w:cs="Tahoma"/>
          <w:sz w:val="16"/>
          <w:lang w:val="it-IT"/>
        </w:rPr>
        <w:t xml:space="preserve">) su processori con un numero di core superiore a quello indicato nella precedente colonna </w:t>
      </w:r>
      <w:r w:rsidR="008E4F28" w:rsidRPr="0002287B">
        <w:rPr>
          <w:rFonts w:ascii="Tahoma" w:hAnsi="Tahoma" w:cs="Tahoma"/>
          <w:sz w:val="16"/>
          <w:lang w:val="it-IT"/>
        </w:rPr>
        <w:t>“</w:t>
      </w:r>
      <w:r w:rsidRPr="0002287B">
        <w:rPr>
          <w:rFonts w:ascii="Tahoma" w:hAnsi="Tahoma" w:cs="Tahoma"/>
          <w:sz w:val="16"/>
          <w:lang w:val="it-IT"/>
        </w:rPr>
        <w:t>Licenza Qualificante” alla data dell</w:t>
      </w:r>
      <w:r w:rsidR="008E4F28" w:rsidRPr="0002287B">
        <w:rPr>
          <w:rFonts w:ascii="Tahoma" w:hAnsi="Tahoma" w:cs="Tahoma"/>
          <w:sz w:val="16"/>
          <w:lang w:val="it-IT"/>
        </w:rPr>
        <w:t>’</w:t>
      </w:r>
      <w:r w:rsidRPr="0002287B">
        <w:rPr>
          <w:rFonts w:ascii="Tahoma" w:hAnsi="Tahoma" w:cs="Tahoma"/>
          <w:sz w:val="16"/>
          <w:lang w:val="it-IT"/>
        </w:rPr>
        <w:t>aggiornamento a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tramite copertura Embedded Maintenance attiva, all</w:t>
      </w:r>
      <w:r w:rsidR="008E4F28" w:rsidRPr="0002287B">
        <w:rPr>
          <w:rFonts w:ascii="Tahoma" w:hAnsi="Tahoma" w:cs="Tahoma"/>
          <w:sz w:val="16"/>
          <w:lang w:val="it-IT"/>
        </w:rPr>
        <w:t>’</w:t>
      </w:r>
      <w:r w:rsidRPr="0002287B">
        <w:rPr>
          <w:rFonts w:ascii="Tahoma" w:hAnsi="Tahoma" w:cs="Tahoma"/>
          <w:sz w:val="16"/>
          <w:lang w:val="it-IT"/>
        </w:rPr>
        <w:t>Utente Finale viene concesso in licenza l</w:t>
      </w:r>
      <w:r w:rsidR="008E4F28" w:rsidRPr="0002287B">
        <w:rPr>
          <w:rFonts w:ascii="Tahoma" w:hAnsi="Tahoma" w:cs="Tahoma"/>
          <w:sz w:val="16"/>
          <w:lang w:val="it-IT"/>
        </w:rPr>
        <w:t>’</w:t>
      </w:r>
      <w:r w:rsidRPr="0002287B">
        <w:rPr>
          <w:rFonts w:ascii="Tahoma" w:hAnsi="Tahoma" w:cs="Tahoma"/>
          <w:sz w:val="16"/>
          <w:lang w:val="it-IT"/>
        </w:rPr>
        <w:t>utilizzo di SQL sul numero di core su cui il Prodotto era in esecuzione al momento dell</w:t>
      </w:r>
      <w:r w:rsidR="008E4F28" w:rsidRPr="0002287B">
        <w:rPr>
          <w:rFonts w:ascii="Tahoma" w:hAnsi="Tahoma" w:cs="Tahoma"/>
          <w:sz w:val="16"/>
          <w:lang w:val="it-IT"/>
        </w:rPr>
        <w:t>’</w:t>
      </w:r>
      <w:r w:rsidRPr="0002287B">
        <w:rPr>
          <w:rFonts w:ascii="Tahoma" w:hAnsi="Tahoma" w:cs="Tahoma"/>
          <w:sz w:val="16"/>
          <w:lang w:val="it-IT"/>
        </w:rPr>
        <w:t>aggiornamento alla Licenza Idonea.</w:t>
      </w:r>
      <w:r w:rsidR="00530A04" w:rsidRPr="00DC65B4">
        <w:rPr>
          <w:rFonts w:ascii="Tahoma" w:hAnsi="Tahoma" w:cs="Tahoma"/>
          <w:lang w:val="it-IT"/>
        </w:rPr>
        <w:t xml:space="preserve"> </w:t>
      </w:r>
      <w:r w:rsidR="00530A04" w:rsidRPr="0002287B">
        <w:rPr>
          <w:rFonts w:ascii="Tahoma" w:hAnsi="Tahoma" w:cs="Tahoma"/>
          <w:sz w:val="16"/>
          <w:lang w:val="it-IT"/>
        </w:rPr>
        <w:t>Tuttavia, l</w:t>
      </w:r>
      <w:r w:rsidR="008E4F28" w:rsidRPr="0002287B">
        <w:rPr>
          <w:rFonts w:ascii="Tahoma" w:hAnsi="Tahoma" w:cs="Tahoma"/>
          <w:sz w:val="16"/>
          <w:lang w:val="it-IT"/>
        </w:rPr>
        <w:t>’</w:t>
      </w:r>
      <w:r w:rsidR="00530A04" w:rsidRPr="0002287B">
        <w:rPr>
          <w:rFonts w:ascii="Tahoma" w:hAnsi="Tahoma" w:cs="Tahoma"/>
          <w:sz w:val="16"/>
          <w:lang w:val="it-IT"/>
        </w:rPr>
        <w:t>Utente Finale dovrà mantenere traccia della configurazione dell</w:t>
      </w:r>
      <w:r w:rsidR="008E4F28" w:rsidRPr="0002287B">
        <w:rPr>
          <w:rFonts w:ascii="Tahoma" w:hAnsi="Tahoma" w:cs="Tahoma"/>
          <w:sz w:val="16"/>
          <w:lang w:val="it-IT"/>
        </w:rPr>
        <w:t>’</w:t>
      </w:r>
      <w:r w:rsidR="00530A04" w:rsidRPr="0002287B">
        <w:rPr>
          <w:rFonts w:ascii="Tahoma" w:hAnsi="Tahoma" w:cs="Tahoma"/>
          <w:sz w:val="16"/>
          <w:lang w:val="it-IT"/>
        </w:rPr>
        <w:t>SQL in esecuzione sul server (istanze concesse in licenza in esecuzione in ambienti di sistema operativo sul server con licenza) e dell</w:t>
      </w:r>
      <w:r w:rsidR="008E4F28" w:rsidRPr="0002287B">
        <w:rPr>
          <w:rFonts w:ascii="Tahoma" w:hAnsi="Tahoma" w:cs="Tahoma"/>
          <w:sz w:val="16"/>
          <w:lang w:val="it-IT"/>
        </w:rPr>
        <w:t>’</w:t>
      </w:r>
      <w:r w:rsidR="00530A04" w:rsidRPr="0002287B">
        <w:rPr>
          <w:rFonts w:ascii="Tahoma" w:hAnsi="Tahoma" w:cs="Tahoma"/>
          <w:sz w:val="16"/>
          <w:lang w:val="it-IT"/>
        </w:rPr>
        <w:t>hardware fisico di supporto all</w:t>
      </w:r>
      <w:r w:rsidR="008E4F28" w:rsidRPr="0002287B">
        <w:rPr>
          <w:rFonts w:ascii="Tahoma" w:hAnsi="Tahoma" w:cs="Tahoma"/>
          <w:sz w:val="16"/>
          <w:lang w:val="it-IT"/>
        </w:rPr>
        <w:t>’</w:t>
      </w:r>
      <w:r w:rsidR="00530A04" w:rsidRPr="0002287B">
        <w:rPr>
          <w:rFonts w:ascii="Tahoma" w:hAnsi="Tahoma" w:cs="Tahoma"/>
          <w:sz w:val="16"/>
          <w:lang w:val="it-IT"/>
        </w:rPr>
        <w:t>SQL al momento del rinnovo di Embedded Maintenance, utilizzando lo strumento Microsoft MAP o software equivalente che consenta la registrazione dei diritti concessi in licenza.</w:t>
      </w:r>
    </w:p>
    <w:p w:rsidR="006F2741" w:rsidRPr="00DC65B4" w:rsidRDefault="00FE08FB" w:rsidP="006F2741">
      <w:pPr>
        <w:rPr>
          <w:rFonts w:ascii="Tahoma" w:hAnsi="Tahoma" w:cs="Tahoma"/>
          <w:sz w:val="16"/>
          <w:szCs w:val="16"/>
          <w:lang w:val="it-IT"/>
        </w:rPr>
      </w:pPr>
      <w:r w:rsidRPr="0002287B">
        <w:rPr>
          <w:rFonts w:ascii="Tahoma" w:hAnsi="Tahoma" w:cs="Tahoma"/>
          <w:sz w:val="16"/>
          <w:vertAlign w:val="superscript"/>
          <w:lang w:val="it-IT"/>
        </w:rPr>
        <w:t>2</w:t>
      </w:r>
      <w:r w:rsidRPr="0002287B">
        <w:rPr>
          <w:rFonts w:ascii="Tahoma" w:hAnsi="Tahoma" w:cs="Tahoma"/>
          <w:sz w:val="16"/>
          <w:lang w:val="it-IT"/>
        </w:rPr>
        <w:t xml:space="preserve">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Enterprise Server/CAL e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Enterprise Core prevedono supporti di memorizzazione separati.</w:t>
      </w:r>
      <w:r w:rsidR="00530A04" w:rsidRPr="00DC65B4">
        <w:rPr>
          <w:rFonts w:ascii="Tahoma" w:hAnsi="Tahoma" w:cs="Tahoma"/>
          <w:lang w:val="it-IT"/>
        </w:rPr>
        <w:t xml:space="preserve"> </w:t>
      </w:r>
      <w:r w:rsidR="00530A04" w:rsidRPr="0002287B">
        <w:rPr>
          <w:rFonts w:ascii="Tahoma" w:hAnsi="Tahoma" w:cs="Tahoma"/>
          <w:sz w:val="16"/>
          <w:lang w:val="it-IT"/>
        </w:rPr>
        <w:t>La Società deve consentire all</w:t>
      </w:r>
      <w:r w:rsidR="008E4F28" w:rsidRPr="0002287B">
        <w:rPr>
          <w:rFonts w:ascii="Tahoma" w:hAnsi="Tahoma" w:cs="Tahoma"/>
          <w:sz w:val="16"/>
          <w:lang w:val="it-IT"/>
        </w:rPr>
        <w:t>’</w:t>
      </w:r>
      <w:r w:rsidR="00530A04" w:rsidRPr="0002287B">
        <w:rPr>
          <w:rFonts w:ascii="Tahoma" w:hAnsi="Tahoma" w:cs="Tahoma"/>
          <w:sz w:val="16"/>
          <w:lang w:val="it-IT"/>
        </w:rPr>
        <w:t>Utente Finale l</w:t>
      </w:r>
      <w:r w:rsidR="008E4F28" w:rsidRPr="0002287B">
        <w:rPr>
          <w:rFonts w:ascii="Tahoma" w:hAnsi="Tahoma" w:cs="Tahoma"/>
          <w:sz w:val="16"/>
          <w:lang w:val="it-IT"/>
        </w:rPr>
        <w:t>’</w:t>
      </w:r>
      <w:r w:rsidR="00530A04" w:rsidRPr="0002287B">
        <w:rPr>
          <w:rFonts w:ascii="Tahoma" w:hAnsi="Tahoma" w:cs="Tahoma"/>
          <w:sz w:val="16"/>
          <w:lang w:val="it-IT"/>
        </w:rPr>
        <w:t>utilizzo dei soli supporti di memorizzazione per il software e il modello di licenza per i quali l</w:t>
      </w:r>
      <w:r w:rsidR="008E4F28" w:rsidRPr="0002287B">
        <w:rPr>
          <w:rFonts w:ascii="Tahoma" w:hAnsi="Tahoma" w:cs="Tahoma"/>
          <w:sz w:val="16"/>
          <w:lang w:val="it-IT"/>
        </w:rPr>
        <w:t>’</w:t>
      </w:r>
      <w:r w:rsidR="00530A04" w:rsidRPr="0002287B">
        <w:rPr>
          <w:rFonts w:ascii="Tahoma" w:hAnsi="Tahoma" w:cs="Tahoma"/>
          <w:sz w:val="16"/>
          <w:lang w:val="it-IT"/>
        </w:rPr>
        <w:t>Utente Finale dispone di licenza.</w:t>
      </w:r>
    </w:p>
    <w:p w:rsidR="006F2741" w:rsidRPr="00DC65B4" w:rsidRDefault="00530A04" w:rsidP="006F2741">
      <w:pPr>
        <w:rPr>
          <w:rFonts w:ascii="Tahoma" w:hAnsi="Tahoma" w:cs="Tahoma"/>
          <w:sz w:val="16"/>
          <w:szCs w:val="16"/>
          <w:lang w:val="it-IT"/>
        </w:rPr>
      </w:pPr>
      <w:r w:rsidRPr="0002287B">
        <w:rPr>
          <w:rFonts w:ascii="Tahoma" w:hAnsi="Tahoma" w:cs="Tahoma"/>
          <w:sz w:val="16"/>
          <w:vertAlign w:val="superscript"/>
          <w:lang w:val="it-IT"/>
        </w:rPr>
        <w:t xml:space="preserve">3 </w:t>
      </w:r>
      <w:r w:rsidRPr="0002287B">
        <w:rPr>
          <w:rFonts w:ascii="Tahoma" w:hAnsi="Tahoma" w:cs="Tahoma"/>
          <w:sz w:val="16"/>
          <w:lang w:val="it-IT"/>
        </w:rPr>
        <w:t>Il collegamento alla tabella dei fattori core è disponibile nel Contratto di Licenza con l</w:t>
      </w:r>
      <w:r w:rsidR="008E4F28" w:rsidRPr="0002287B">
        <w:rPr>
          <w:rFonts w:ascii="Tahoma" w:hAnsi="Tahoma" w:cs="Tahoma"/>
          <w:sz w:val="16"/>
          <w:lang w:val="it-IT"/>
        </w:rPr>
        <w:t>’</w:t>
      </w:r>
      <w:r w:rsidRPr="0002287B">
        <w:rPr>
          <w:rFonts w:ascii="Tahoma" w:hAnsi="Tahoma" w:cs="Tahoma"/>
          <w:sz w:val="16"/>
          <w:lang w:val="it-IT"/>
        </w:rPr>
        <w:t>Utente Finale per il software SQL 2012.</w:t>
      </w:r>
    </w:p>
    <w:p w:rsidR="00583237" w:rsidRPr="00DC65B4" w:rsidRDefault="00583237" w:rsidP="00945992">
      <w:pPr>
        <w:tabs>
          <w:tab w:val="left" w:pos="3770"/>
        </w:tabs>
        <w:rPr>
          <w:rFonts w:ascii="Tahoma" w:hAnsi="Tahoma" w:cs="Tahoma"/>
          <w:b/>
          <w:bCs/>
          <w:szCs w:val="19"/>
          <w:lang w:val="it-IT"/>
        </w:rPr>
      </w:pPr>
      <w:r w:rsidRPr="00DC65B4">
        <w:rPr>
          <w:rFonts w:ascii="Tahoma" w:hAnsi="Tahoma" w:cs="Tahoma"/>
          <w:b/>
          <w:bCs/>
          <w:szCs w:val="19"/>
          <w:lang w:val="it-IT"/>
        </w:rPr>
        <w:tab/>
      </w:r>
    </w:p>
    <w:p w:rsidR="00583237" w:rsidRPr="00DC65B4" w:rsidRDefault="007C658C" w:rsidP="00583237">
      <w:pPr>
        <w:rPr>
          <w:rFonts w:ascii="Tahoma" w:hAnsi="Tahoma" w:cs="Tahoma"/>
          <w:b/>
          <w:bCs/>
          <w:szCs w:val="19"/>
          <w:lang w:val="it-IT"/>
        </w:rPr>
      </w:pPr>
      <w:r w:rsidRPr="0002287B">
        <w:rPr>
          <w:rFonts w:ascii="Tahoma" w:hAnsi="Tahoma" w:cs="Tahoma"/>
          <w:b/>
          <w:lang w:val="it-IT"/>
        </w:rPr>
        <w:t>Concessioni per la Transizione dei Prodotti Microsoft</w:t>
      </w:r>
      <w:r w:rsidRPr="0002287B">
        <w:rPr>
          <w:rFonts w:ascii="Tahoma" w:hAnsi="Tahoma" w:cs="Tahoma"/>
          <w:b/>
          <w:vertAlign w:val="superscript"/>
          <w:lang w:val="it-IT"/>
        </w:rPr>
        <w:t>®</w:t>
      </w:r>
      <w:r w:rsidRPr="0002287B">
        <w:rPr>
          <w:rFonts w:ascii="Tahoma" w:hAnsi="Tahoma" w:cs="Tahoma"/>
          <w:b/>
          <w:lang w:val="it-IT"/>
        </w:rPr>
        <w:t xml:space="preserve"> System Center</w:t>
      </w:r>
    </w:p>
    <w:p w:rsidR="00583237" w:rsidRPr="00DC65B4" w:rsidRDefault="00530A04" w:rsidP="00583237">
      <w:pPr>
        <w:rPr>
          <w:rFonts w:ascii="Tahoma" w:hAnsi="Tahoma" w:cs="Tahoma"/>
          <w:sz w:val="16"/>
          <w:szCs w:val="12"/>
          <w:lang w:val="it-IT"/>
        </w:rPr>
      </w:pPr>
      <w:r w:rsidRPr="0002287B">
        <w:rPr>
          <w:rFonts w:ascii="Tahoma" w:hAnsi="Tahoma" w:cs="Tahoma"/>
          <w:sz w:val="16"/>
          <w:lang w:val="it-IT"/>
        </w:rPr>
        <w:t>System Center 2012 è un nuovo prodotto e non la versione successiva di precedenti prodotti System Center.</w:t>
      </w:r>
      <w:r w:rsidRPr="00DC65B4">
        <w:rPr>
          <w:rFonts w:ascii="Tahoma" w:hAnsi="Tahoma" w:cs="Tahoma"/>
          <w:lang w:val="it-IT"/>
        </w:rPr>
        <w:t xml:space="preserve"> </w:t>
      </w:r>
      <w:r w:rsidR="007C658C" w:rsidRPr="0002287B">
        <w:rPr>
          <w:rFonts w:ascii="Tahoma" w:hAnsi="Tahoma" w:cs="Tahoma"/>
          <w:sz w:val="16"/>
          <w:lang w:val="it-IT"/>
        </w:rPr>
        <w:t>Per abilitare la transizione al nuovo prodotto, una concessione una tantum per la transizione viene offerta agli Utenti Finali che dispongono di Embedded Maintenance attiva al 1 aprile 2012.</w:t>
      </w:r>
      <w:r w:rsidRPr="00DC65B4">
        <w:rPr>
          <w:rFonts w:ascii="Tahoma" w:hAnsi="Tahoma" w:cs="Tahoma"/>
          <w:sz w:val="16"/>
          <w:lang w:val="it-IT"/>
        </w:rPr>
        <w:t xml:space="preserve"> </w:t>
      </w:r>
      <w:r w:rsidR="007C658C" w:rsidRPr="0002287B">
        <w:rPr>
          <w:rFonts w:ascii="Tahoma" w:hAnsi="Tahoma" w:cs="Tahoma"/>
          <w:sz w:val="16"/>
          <w:lang w:val="it-IT"/>
        </w:rPr>
        <w:t>Gli Utenti Finali che si qualificano per la concessione una tantum devono mantenere attiva la copertura Embedded Maintenance fino alla data di aggiornamento alla Soluzione Unificata System Center 2012.</w:t>
      </w:r>
      <w:r w:rsidRPr="00DC65B4">
        <w:rPr>
          <w:rFonts w:ascii="Tahoma" w:hAnsi="Tahoma" w:cs="Tahoma"/>
          <w:lang w:val="it-IT"/>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02287B"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02287B" w:rsidRDefault="00530A04" w:rsidP="00583237">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02287B" w:rsidRDefault="00530A04" w:rsidP="00583237">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Qualsiasi licenza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Management Server</w:t>
            </w:r>
            <w:r w:rsidR="00530A04" w:rsidRPr="004B2C30">
              <w:rPr>
                <w:rFonts w:ascii="Tahoma" w:hAnsi="Tahoma" w:cs="Tahoma"/>
                <w:lang w:val="it-IT"/>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402CF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Configuration Manager 2007 R3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DC65B4" w:rsidRDefault="007C658C" w:rsidP="00DA6FF3">
            <w:pPr>
              <w:rPr>
                <w:rFonts w:ascii="Tahoma" w:hAnsi="Tahoma" w:cs="Tahoma"/>
                <w:bCs/>
                <w:sz w:val="16"/>
                <w:szCs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Configuration Manager (per</w:t>
            </w:r>
            <w:r w:rsidR="00DA6FF3">
              <w:rPr>
                <w:rFonts w:ascii="Tahoma" w:hAnsi="Tahoma" w:cs="Tahoma"/>
                <w:sz w:val="16"/>
                <w:lang w:val="it-IT"/>
              </w:rPr>
              <w:t> </w:t>
            </w:r>
            <w:r w:rsidRPr="0002287B">
              <w:rPr>
                <w:rFonts w:ascii="Tahoma" w:hAnsi="Tahoma" w:cs="Tahoma"/>
                <w:sz w:val="16"/>
                <w:lang w:val="it-IT"/>
              </w:rPr>
              <w:t>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C65B4" w:rsidRDefault="007C658C" w:rsidP="00583237">
            <w:pPr>
              <w:rPr>
                <w:rFonts w:ascii="Tahoma" w:hAnsi="Tahoma" w:cs="Tahoma"/>
                <w:bCs/>
                <w:sz w:val="16"/>
                <w:szCs w:val="16"/>
                <w:lang w:val="it-IT"/>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Data Protection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C65B4" w:rsidRDefault="007C658C" w:rsidP="00583237">
            <w:pPr>
              <w:rPr>
                <w:rFonts w:ascii="Tahoma" w:hAnsi="Tahoma" w:cs="Tahoma"/>
                <w:bCs/>
                <w:sz w:val="16"/>
                <w:szCs w:val="16"/>
                <w:lang w:val="it-IT"/>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C65B4"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Operations Manager 2007 R2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402CF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pt-BR"/>
              </w:rPr>
            </w:pPr>
            <w:r w:rsidRPr="004B2C30">
              <w:rPr>
                <w:rFonts w:ascii="Tahoma" w:hAnsi="Tahoma" w:cs="Tahoma"/>
                <w:sz w:val="16"/>
              </w:rPr>
              <w:t>Microsoft</w:t>
            </w:r>
            <w:r w:rsidRPr="004B2C30">
              <w:rPr>
                <w:rFonts w:ascii="Tahoma" w:hAnsi="Tahoma" w:cs="Tahoma"/>
                <w:sz w:val="16"/>
                <w:vertAlign w:val="superscript"/>
              </w:rPr>
              <w:t>®</w:t>
            </w:r>
            <w:r w:rsidRPr="004B2C30">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Un (1)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 per ogni due (2)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Server Management Suite Datacenter qualificanti</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fr-FR"/>
              </w:rPr>
            </w:pPr>
            <w:r w:rsidRPr="00DC65B4">
              <w:rPr>
                <w:rFonts w:ascii="Tahoma" w:hAnsi="Tahoma" w:cs="Tahoma"/>
                <w:sz w:val="16"/>
                <w:lang w:val="fr-FR"/>
              </w:rPr>
              <w:t>Microsoft</w:t>
            </w:r>
            <w:r w:rsidRPr="00DC65B4">
              <w:rPr>
                <w:rFonts w:ascii="Tahoma" w:hAnsi="Tahoma" w:cs="Tahoma"/>
                <w:sz w:val="16"/>
                <w:vertAlign w:val="superscript"/>
                <w:lang w:val="fr-FR"/>
              </w:rPr>
              <w:t>®</w:t>
            </w:r>
            <w:r w:rsidRPr="00DC65B4">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4B2C30">
              <w:rPr>
                <w:rFonts w:ascii="Tahoma" w:hAnsi="Tahoma" w:cs="Tahoma"/>
                <w:sz w:val="16"/>
              </w:rPr>
              <w:t>Due (2) Microsoft</w:t>
            </w:r>
            <w:r w:rsidRPr="004B2C30">
              <w:rPr>
                <w:rFonts w:ascii="Tahoma" w:hAnsi="Tahoma" w:cs="Tahoma"/>
                <w:sz w:val="16"/>
                <w:vertAlign w:val="superscript"/>
              </w:rPr>
              <w:t>®</w:t>
            </w:r>
            <w:r w:rsidRPr="004B2C30">
              <w:rPr>
                <w:rFonts w:ascii="Tahoma" w:hAnsi="Tahoma" w:cs="Tahoma"/>
                <w:sz w:val="16"/>
              </w:rPr>
              <w:t xml:space="preserve"> System Center 2012 Standard</w:t>
            </w:r>
            <w:r w:rsidRPr="004B2C30">
              <w:rPr>
                <w:rFonts w:ascii="Tahoma" w:hAnsi="Tahoma" w:cs="Tahoma"/>
                <w:sz w:val="16"/>
                <w:vertAlign w:val="superscrip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Service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C65B4" w:rsidRDefault="007C658C" w:rsidP="00583237">
            <w:pPr>
              <w:rPr>
                <w:rFonts w:ascii="Tahoma" w:hAnsi="Tahoma" w:cs="Tahoma"/>
                <w:bCs/>
                <w:sz w:val="16"/>
                <w:szCs w:val="16"/>
                <w:lang w:val="it-IT"/>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402CF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Virtual Machine Manager 2008 R2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DC65B4" w:rsidRDefault="007C658C" w:rsidP="00DA6FF3">
            <w:pPr>
              <w:rPr>
                <w:rFonts w:ascii="Tahoma" w:hAnsi="Tahoma" w:cs="Tahoma"/>
                <w:bCs/>
                <w:sz w:val="16"/>
                <w:szCs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Configuration Manager (per</w:t>
            </w:r>
            <w:r w:rsidR="00DA6FF3">
              <w:rPr>
                <w:rFonts w:ascii="Tahoma" w:hAnsi="Tahoma" w:cs="Tahoma"/>
                <w:sz w:val="16"/>
                <w:lang w:val="it-IT"/>
              </w:rPr>
              <w:t> </w:t>
            </w:r>
            <w:r w:rsidRPr="0002287B">
              <w:rPr>
                <w:rFonts w:ascii="Tahoma" w:hAnsi="Tahoma" w:cs="Tahoma"/>
                <w:sz w:val="16"/>
                <w:lang w:val="it-IT"/>
              </w:rPr>
              <w:t>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9"/>
                <w:lang w:val="pt-BR"/>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w:t>
            </w:r>
            <w:r w:rsidRPr="0002287B">
              <w:rPr>
                <w:rFonts w:ascii="Tahoma" w:hAnsi="Tahoma" w:cs="Tahoma"/>
                <w:sz w:val="16"/>
                <w:vertAlign w:val="superscript"/>
                <w:lang w:val="it-IT"/>
              </w:rPr>
              <w:t>1</w:t>
            </w:r>
          </w:p>
        </w:tc>
      </w:tr>
    </w:tbl>
    <w:p w:rsidR="00583237" w:rsidRPr="00DC65B4" w:rsidRDefault="00530A04" w:rsidP="00583237">
      <w:pPr>
        <w:rPr>
          <w:rFonts w:ascii="Tahoma" w:hAnsi="Tahoma" w:cs="Tahoma"/>
          <w:sz w:val="16"/>
          <w:szCs w:val="12"/>
          <w:lang w:val="it-IT"/>
        </w:rPr>
      </w:pPr>
      <w:r w:rsidRPr="0002287B">
        <w:rPr>
          <w:rFonts w:ascii="Tahoma" w:hAnsi="Tahoma" w:cs="Tahoma"/>
          <w:sz w:val="16"/>
          <w:vertAlign w:val="superscript"/>
          <w:lang w:val="it-IT"/>
        </w:rPr>
        <w:t xml:space="preserve">1 </w:t>
      </w:r>
      <w:r w:rsidRPr="0002287B">
        <w:rPr>
          <w:rFonts w:ascii="Tahoma" w:hAnsi="Tahoma" w:cs="Tahoma"/>
          <w:sz w:val="16"/>
          <w:lang w:val="it-IT"/>
        </w:rPr>
        <w:t>Le licenze per System Center 2012 Standard/Datacenter supportano un massimo di 2 processori.</w:t>
      </w:r>
      <w:r w:rsidRPr="00DC65B4">
        <w:rPr>
          <w:rFonts w:ascii="Tahoma" w:hAnsi="Tahoma" w:cs="Tahoma"/>
          <w:lang w:val="it-IT"/>
        </w:rPr>
        <w:t xml:space="preserve"> </w:t>
      </w:r>
      <w:r w:rsidRPr="0002287B">
        <w:rPr>
          <w:rFonts w:ascii="Tahoma" w:hAnsi="Tahoma" w:cs="Tahoma"/>
          <w:sz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8E4F28" w:rsidRPr="0002287B">
        <w:rPr>
          <w:rFonts w:ascii="Tahoma" w:hAnsi="Tahoma" w:cs="Tahoma"/>
          <w:sz w:val="16"/>
          <w:lang w:val="it-IT"/>
        </w:rPr>
        <w:t>’</w:t>
      </w:r>
      <w:r w:rsidRPr="0002287B">
        <w:rPr>
          <w:rFonts w:ascii="Tahoma" w:hAnsi="Tahoma" w:cs="Tahoma"/>
          <w:sz w:val="16"/>
          <w:lang w:val="it-IT"/>
        </w:rPr>
        <w:t>Utente Finale.</w:t>
      </w:r>
      <w:r w:rsidRPr="00DC65B4">
        <w:rPr>
          <w:rFonts w:ascii="Tahoma" w:hAnsi="Tahoma" w:cs="Tahoma"/>
          <w:lang w:val="it-IT"/>
        </w:rPr>
        <w:t xml:space="preserve"> </w:t>
      </w:r>
      <w:r w:rsidRPr="0002287B">
        <w:rPr>
          <w:rFonts w:ascii="Tahoma" w:hAnsi="Tahoma" w:cs="Tahoma"/>
          <w:sz w:val="16"/>
          <w:lang w:val="it-IT"/>
        </w:rPr>
        <w:t>In tali circostanze l</w:t>
      </w:r>
      <w:r w:rsidR="008E4F28" w:rsidRPr="0002287B">
        <w:rPr>
          <w:rFonts w:ascii="Tahoma" w:hAnsi="Tahoma" w:cs="Tahoma"/>
          <w:sz w:val="16"/>
          <w:lang w:val="it-IT"/>
        </w:rPr>
        <w:t>’</w:t>
      </w:r>
      <w:r w:rsidRPr="0002287B">
        <w:rPr>
          <w:rFonts w:ascii="Tahoma" w:hAnsi="Tahoma" w:cs="Tahoma"/>
          <w:sz w:val="16"/>
          <w:lang w:val="it-IT"/>
        </w:rPr>
        <w:t>Utente Finale dovrà mantenere la documentazione della configurazione hardware del server contenente la traccia dei diritti concessi in licenza.</w:t>
      </w:r>
    </w:p>
    <w:p w:rsidR="00583237" w:rsidRPr="00DC65B4" w:rsidRDefault="00583237" w:rsidP="00583237">
      <w:pPr>
        <w:rPr>
          <w:rFonts w:ascii="Tahoma" w:hAnsi="Tahoma" w:cs="Tahoma"/>
          <w:lang w:val="it-IT"/>
        </w:rPr>
      </w:pPr>
    </w:p>
    <w:p w:rsidR="008C62F2" w:rsidRPr="00DC65B4" w:rsidRDefault="00530A04" w:rsidP="00A26EDA">
      <w:pPr>
        <w:numPr>
          <w:ilvl w:val="0"/>
          <w:numId w:val="25"/>
        </w:numPr>
        <w:spacing w:before="120" w:after="20"/>
        <w:rPr>
          <w:rFonts w:ascii="Tahoma" w:hAnsi="Tahoma" w:cs="Tahoma"/>
          <w:b/>
          <w:color w:val="FF6600"/>
          <w:sz w:val="24"/>
          <w:szCs w:val="24"/>
          <w:lang w:val="it-IT" w:eastAsia="x-none"/>
        </w:rPr>
      </w:pPr>
      <w:r w:rsidRPr="0002287B">
        <w:rPr>
          <w:rFonts w:ascii="Tahoma" w:hAnsi="Tahoma" w:cs="Tahoma"/>
          <w:b/>
          <w:color w:val="FF6600"/>
          <w:sz w:val="24"/>
          <w:lang w:val="it-IT"/>
        </w:rPr>
        <w:t xml:space="preserve">Informazioni sul Codice </w:t>
      </w:r>
      <w:r w:rsidR="008E4F28" w:rsidRPr="0002287B">
        <w:rPr>
          <w:rFonts w:ascii="Tahoma" w:hAnsi="Tahoma" w:cs="Tahoma"/>
          <w:b/>
          <w:color w:val="FF6600"/>
          <w:sz w:val="24"/>
          <w:lang w:val="it-IT"/>
        </w:rPr>
        <w:t>“</w:t>
      </w:r>
      <w:r w:rsidRPr="0002287B">
        <w:rPr>
          <w:rFonts w:ascii="Tahoma" w:hAnsi="Tahoma" w:cs="Tahoma"/>
          <w:b/>
          <w:color w:val="FF6600"/>
          <w:sz w:val="24"/>
          <w:lang w:val="it-IT"/>
        </w:rPr>
        <w:t>Product Key</w:t>
      </w:r>
      <w:r w:rsidR="008E4F28" w:rsidRPr="0002287B">
        <w:rPr>
          <w:rFonts w:ascii="Tahoma" w:hAnsi="Tahoma" w:cs="Tahoma"/>
          <w:b/>
          <w:color w:val="FF6600"/>
          <w:sz w:val="24"/>
          <w:lang w:val="it-IT"/>
        </w:rPr>
        <w:t>”</w:t>
      </w:r>
    </w:p>
    <w:p w:rsidR="003034F7" w:rsidRPr="00DC65B4" w:rsidRDefault="003034F7" w:rsidP="003011A6">
      <w:pPr>
        <w:rPr>
          <w:rFonts w:ascii="Tahoma" w:hAnsi="Tahoma" w:cs="Tahoma"/>
          <w:lang w:val="it-IT"/>
        </w:rPr>
      </w:pPr>
    </w:p>
    <w:p w:rsidR="008C62F2" w:rsidRPr="00DC65B4" w:rsidRDefault="00530A04" w:rsidP="0002287B">
      <w:pPr>
        <w:numPr>
          <w:ilvl w:val="0"/>
          <w:numId w:val="23"/>
        </w:numPr>
        <w:rPr>
          <w:rFonts w:ascii="Tahoma" w:hAnsi="Tahoma" w:cs="Tahoma"/>
          <w:lang w:val="it-IT"/>
        </w:rPr>
      </w:pPr>
      <w:r w:rsidRPr="0002287B">
        <w:rPr>
          <w:rFonts w:ascii="Tahoma" w:hAnsi="Tahoma" w:cs="Tahoma"/>
          <w:lang w:val="it-IT"/>
        </w:rPr>
        <w:t xml:space="preserve">I prodotti contrassegnati da </w:t>
      </w:r>
      <w:r w:rsidR="008E4F28" w:rsidRPr="0002287B">
        <w:rPr>
          <w:rFonts w:ascii="Tahoma" w:hAnsi="Tahoma" w:cs="Tahoma"/>
          <w:lang w:val="it-IT"/>
        </w:rPr>
        <w:t>“</w:t>
      </w:r>
      <w:r w:rsidRPr="0002287B">
        <w:rPr>
          <w:rFonts w:ascii="Tahoma" w:hAnsi="Tahoma" w:cs="Tahoma"/>
          <w:lang w:val="it-IT"/>
        </w:rPr>
        <w:t>s</w:t>
      </w:r>
      <w:r w:rsidR="008E4F28" w:rsidRPr="0002287B">
        <w:rPr>
          <w:rFonts w:ascii="Tahoma" w:hAnsi="Tahoma" w:cs="Tahoma"/>
          <w:lang w:val="it-IT"/>
        </w:rPr>
        <w:t>”</w:t>
      </w:r>
      <w:r w:rsidRPr="0002287B">
        <w:rPr>
          <w:rFonts w:ascii="Tahoma" w:hAnsi="Tahoma" w:cs="Tahoma"/>
          <w:lang w:val="it-IT"/>
        </w:rPr>
        <w:t>: il codice di installazione del prodotto è disponibile sull</w:t>
      </w:r>
      <w:r w:rsidR="008E4F28" w:rsidRPr="0002287B">
        <w:rPr>
          <w:rFonts w:ascii="Tahoma" w:hAnsi="Tahoma" w:cs="Tahoma"/>
          <w:lang w:val="it-IT"/>
        </w:rPr>
        <w:t>’</w:t>
      </w:r>
      <w:r w:rsidRPr="0002287B">
        <w:rPr>
          <w:rFonts w:ascii="Tahoma" w:hAnsi="Tahoma" w:cs="Tahoma"/>
          <w:lang w:val="it-IT"/>
        </w:rPr>
        <w:t>etichetta fornita con i</w:t>
      </w:r>
      <w:r w:rsidR="0002287B">
        <w:rPr>
          <w:rFonts w:ascii="Tahoma" w:hAnsi="Tahoma" w:cs="Tahoma"/>
          <w:lang w:val="it-IT"/>
        </w:rPr>
        <w:t> </w:t>
      </w:r>
      <w:r w:rsidRPr="0002287B">
        <w:rPr>
          <w:rFonts w:ascii="Tahoma" w:hAnsi="Tahoma" w:cs="Tahoma"/>
          <w:lang w:val="it-IT"/>
        </w:rPr>
        <w:t>supporti di memorizzazione di rete.</w:t>
      </w:r>
    </w:p>
    <w:p w:rsidR="00B017CA" w:rsidRPr="00DC65B4" w:rsidRDefault="00530A04" w:rsidP="0002287B">
      <w:pPr>
        <w:numPr>
          <w:ilvl w:val="0"/>
          <w:numId w:val="23"/>
        </w:numPr>
        <w:rPr>
          <w:rFonts w:ascii="Tahoma" w:hAnsi="Tahoma" w:cs="Tahoma"/>
          <w:lang w:val="it-IT"/>
        </w:rPr>
      </w:pPr>
      <w:r w:rsidRPr="0002287B">
        <w:rPr>
          <w:rFonts w:ascii="Tahoma" w:hAnsi="Tahoma" w:cs="Tahoma"/>
          <w:lang w:val="it-IT"/>
        </w:rPr>
        <w:t xml:space="preserve">I prodotti contrassegnati da </w:t>
      </w:r>
      <w:r w:rsidR="008E4F28" w:rsidRPr="0002287B">
        <w:rPr>
          <w:rFonts w:ascii="Tahoma" w:hAnsi="Tahoma" w:cs="Tahoma"/>
          <w:lang w:val="it-IT"/>
        </w:rPr>
        <w:t>“</w:t>
      </w:r>
      <w:r w:rsidRPr="0002287B">
        <w:rPr>
          <w:rFonts w:ascii="Tahoma" w:hAnsi="Tahoma" w:cs="Tahoma"/>
          <w:lang w:val="it-IT"/>
        </w:rPr>
        <w:t>m</w:t>
      </w:r>
      <w:r w:rsidR="008E4F28" w:rsidRPr="0002287B">
        <w:rPr>
          <w:rFonts w:ascii="Tahoma" w:hAnsi="Tahoma" w:cs="Tahoma"/>
          <w:lang w:val="it-IT"/>
        </w:rPr>
        <w:t>”</w:t>
      </w:r>
      <w:r w:rsidRPr="0002287B">
        <w:rPr>
          <w:rFonts w:ascii="Tahoma" w:hAnsi="Tahoma" w:cs="Tahoma"/>
          <w:lang w:val="it-IT"/>
        </w:rPr>
        <w:t>: il prodotto è dotato di un MAK (Multiple Activation Key) ed è incluso nei supporti</w:t>
      </w:r>
      <w:r w:rsidR="0002287B">
        <w:rPr>
          <w:rFonts w:ascii="Tahoma" w:hAnsi="Tahoma" w:cs="Tahoma"/>
          <w:lang w:val="it-IT"/>
        </w:rPr>
        <w:t> </w:t>
      </w:r>
      <w:r w:rsidRPr="0002287B">
        <w:rPr>
          <w:rFonts w:ascii="Tahoma" w:hAnsi="Tahoma" w:cs="Tahoma"/>
          <w:lang w:val="it-IT"/>
        </w:rPr>
        <w:t>di memorizzazione di rete.</w:t>
      </w:r>
      <w:r w:rsidR="00185DBA" w:rsidRPr="00DC65B4">
        <w:rPr>
          <w:rFonts w:ascii="Tahoma" w:hAnsi="Tahoma" w:cs="Tahoma"/>
          <w:lang w:val="it-IT"/>
        </w:rPr>
        <w:t xml:space="preserve"> </w:t>
      </w:r>
      <w:r w:rsidRPr="0002287B">
        <w:rPr>
          <w:rFonts w:ascii="Tahoma" w:hAnsi="Tahoma" w:cs="Tahoma"/>
          <w:lang w:val="it-IT"/>
        </w:rPr>
        <w:t>Il licenziatario ha il diritto di attivare solo il numero di licenze acquistate.</w:t>
      </w:r>
      <w:r w:rsidR="00185DBA" w:rsidRPr="00DC65B4">
        <w:rPr>
          <w:rFonts w:ascii="Tahoma" w:hAnsi="Tahoma" w:cs="Tahoma"/>
          <w:lang w:val="it-IT"/>
        </w:rPr>
        <w:t xml:space="preserve"> </w:t>
      </w:r>
      <w:r w:rsidR="00C7210B" w:rsidRPr="0002287B">
        <w:rPr>
          <w:rFonts w:ascii="Tahoma" w:hAnsi="Tahoma" w:cs="Tahoma"/>
          <w:lang w:val="it-IT"/>
        </w:rPr>
        <w:t>Per</w:t>
      </w:r>
      <w:r w:rsidR="0002287B">
        <w:rPr>
          <w:rFonts w:ascii="Tahoma" w:hAnsi="Tahoma" w:cs="Tahoma"/>
          <w:lang w:val="it-IT"/>
        </w:rPr>
        <w:t> </w:t>
      </w:r>
      <w:r w:rsidR="00C7210B" w:rsidRPr="0002287B">
        <w:rPr>
          <w:rFonts w:ascii="Tahoma" w:hAnsi="Tahoma" w:cs="Tahoma"/>
          <w:lang w:val="it-IT"/>
        </w:rPr>
        <w:t xml:space="preserve">informazioni su come attivare MAK, il licenziatario potrà visitare il sito </w:t>
      </w:r>
      <w:hyperlink r:id="rId9" w:history="1">
        <w:r w:rsidR="00C7210B" w:rsidRPr="0002287B">
          <w:rPr>
            <w:rStyle w:val="Hyperlink"/>
            <w:rFonts w:ascii="Tahoma" w:hAnsi="Tahoma" w:cs="Tahoma"/>
            <w:lang w:val="it-IT"/>
          </w:rPr>
          <w:t>http://technet.microsoft.com/en-us/library/ff603511.aspx</w:t>
        </w:r>
      </w:hyperlink>
    </w:p>
    <w:p w:rsidR="00A26EDA" w:rsidRPr="00DC65B4" w:rsidRDefault="00C7210B" w:rsidP="00FA6CE6">
      <w:pPr>
        <w:numPr>
          <w:ilvl w:val="0"/>
          <w:numId w:val="23"/>
        </w:numPr>
        <w:rPr>
          <w:rFonts w:ascii="Tahoma" w:hAnsi="Tahoma" w:cs="Tahoma"/>
          <w:lang w:val="it-IT"/>
        </w:rPr>
      </w:pPr>
      <w:r w:rsidRPr="0002287B">
        <w:rPr>
          <w:rFonts w:ascii="Tahoma" w:hAnsi="Tahoma" w:cs="Tahoma"/>
          <w:lang w:val="it-IT"/>
        </w:rPr>
        <w:t xml:space="preserve">I prodotti contrassegnati da </w:t>
      </w:r>
      <w:r w:rsidR="008E4F28" w:rsidRPr="0002287B">
        <w:rPr>
          <w:rFonts w:ascii="Tahoma" w:hAnsi="Tahoma" w:cs="Tahoma"/>
          <w:lang w:val="it-IT"/>
        </w:rPr>
        <w:t>“</w:t>
      </w:r>
      <w:r w:rsidRPr="0002287B">
        <w:rPr>
          <w:rFonts w:ascii="Tahoma" w:hAnsi="Tahoma" w:cs="Tahoma"/>
          <w:lang w:val="it-IT"/>
        </w:rPr>
        <w:t>r</w:t>
      </w:r>
      <w:r w:rsidR="008E4F28" w:rsidRPr="0002287B">
        <w:rPr>
          <w:rFonts w:ascii="Tahoma" w:hAnsi="Tahoma" w:cs="Tahoma"/>
          <w:lang w:val="it-IT"/>
        </w:rPr>
        <w:t>”</w:t>
      </w:r>
      <w:r w:rsidRPr="0002287B">
        <w:rPr>
          <w:rFonts w:ascii="Tahoma" w:hAnsi="Tahoma" w:cs="Tahoma"/>
          <w:lang w:val="it-IT"/>
        </w:rPr>
        <w:t>: per i codici delle CAL per RDS il licenziatario dovrà scrivere all</w:t>
      </w:r>
      <w:r w:rsidR="008E4F28" w:rsidRPr="0002287B">
        <w:rPr>
          <w:rFonts w:ascii="Tahoma" w:hAnsi="Tahoma" w:cs="Tahoma"/>
          <w:lang w:val="it-IT"/>
        </w:rPr>
        <w:t>’</w:t>
      </w:r>
      <w:r w:rsidRPr="0002287B">
        <w:rPr>
          <w:rFonts w:ascii="Tahoma" w:hAnsi="Tahoma" w:cs="Tahoma"/>
          <w:lang w:val="it-IT"/>
        </w:rPr>
        <w:t xml:space="preserve">indirizzo </w:t>
      </w:r>
      <w:hyperlink r:id="rId10" w:history="1">
        <w:r w:rsidRPr="0002287B">
          <w:rPr>
            <w:rStyle w:val="Hyperlink"/>
            <w:rFonts w:ascii="Tahoma" w:hAnsi="Tahoma" w:cs="Tahoma"/>
            <w:lang w:val="it-IT"/>
          </w:rPr>
          <w:t>isvroy@microsoft.com</w:t>
        </w:r>
      </w:hyperlink>
      <w:r w:rsidR="00530A04" w:rsidRPr="00DC65B4">
        <w:rPr>
          <w:rFonts w:ascii="Tahoma" w:hAnsi="Tahoma" w:cs="Tahoma"/>
          <w:lang w:val="it-IT"/>
        </w:rPr>
        <w:t xml:space="preserve"> </w:t>
      </w:r>
    </w:p>
    <w:p w:rsidR="00555783" w:rsidRPr="0002287B" w:rsidRDefault="00530A04" w:rsidP="000C5051">
      <w:pPr>
        <w:rPr>
          <w:rFonts w:ascii="Tahoma" w:hAnsi="Tahoma" w:cs="Tahoma"/>
          <w:b/>
          <w:color w:val="FF6600"/>
          <w:sz w:val="24"/>
          <w:szCs w:val="24"/>
          <w:lang w:eastAsia="x-none"/>
        </w:rPr>
      </w:pPr>
      <w:r w:rsidRPr="0002287B">
        <w:rPr>
          <w:rFonts w:ascii="Tahoma" w:hAnsi="Tahoma" w:cs="Tahoma"/>
          <w:b/>
          <w:color w:val="FF6600"/>
          <w:sz w:val="24"/>
          <w:lang w:val="it-IT"/>
        </w:rPr>
        <w:t>Condizioni Aggiuntive per i Programmi</w:t>
      </w:r>
    </w:p>
    <w:p w:rsidR="009D5753" w:rsidRPr="0002287B" w:rsidRDefault="009D5753" w:rsidP="00945854">
      <w:pPr>
        <w:spacing w:before="120" w:after="20"/>
        <w:jc w:val="center"/>
        <w:rPr>
          <w:rStyle w:val="Hyperlink"/>
          <w:rFonts w:ascii="Tahoma" w:hAnsi="Tahoma" w:cs="Tahoma"/>
          <w:bCs/>
          <w:iCs/>
          <w:color w:val="auto"/>
          <w:u w:val="none"/>
          <w:lang w:val="pt-BR"/>
        </w:rPr>
      </w:pPr>
    </w:p>
    <w:p w:rsidR="00FA6CE6" w:rsidRPr="00DC65B4" w:rsidRDefault="00530A04" w:rsidP="00FA6CE6">
      <w:pPr>
        <w:numPr>
          <w:ilvl w:val="0"/>
          <w:numId w:val="14"/>
        </w:numPr>
        <w:jc w:val="both"/>
        <w:rPr>
          <w:rFonts w:ascii="Tahoma" w:hAnsi="Tahoma" w:cs="Tahoma"/>
          <w:iCs/>
          <w:lang w:val="it-IT"/>
        </w:rPr>
      </w:pPr>
      <w:r w:rsidRPr="0002287B">
        <w:rPr>
          <w:rFonts w:ascii="Tahoma" w:hAnsi="Tahoma" w:cs="Tahoma"/>
          <w:b/>
          <w:lang w:val="it-IT"/>
        </w:rPr>
        <w:t>Riservatezza dei Codici.</w:t>
      </w:r>
      <w:r w:rsidR="00185DBA" w:rsidRPr="00DC65B4">
        <w:rPr>
          <w:rFonts w:ascii="Tahoma" w:hAnsi="Tahoma" w:cs="Tahoma"/>
          <w:lang w:val="it-IT"/>
        </w:rPr>
        <w:t xml:space="preserve"> </w:t>
      </w:r>
      <w:r w:rsidRPr="0002287B">
        <w:rPr>
          <w:rFonts w:ascii="Tahoma" w:hAnsi="Tahoma" w:cs="Tahoma"/>
          <w:lang w:val="it-IT"/>
        </w:rPr>
        <w:t xml:space="preserve">I codici </w:t>
      </w:r>
      <w:r w:rsidR="008E4F28" w:rsidRPr="0002287B">
        <w:rPr>
          <w:rFonts w:ascii="Tahoma" w:hAnsi="Tahoma" w:cs="Tahoma"/>
          <w:lang w:val="it-IT"/>
        </w:rPr>
        <w:t>“</w:t>
      </w:r>
      <w:r w:rsidRPr="0002287B">
        <w:rPr>
          <w:rFonts w:ascii="Tahoma" w:hAnsi="Tahoma" w:cs="Tahoma"/>
          <w:lang w:val="it-IT"/>
        </w:rPr>
        <w:t>Product Key</w:t>
      </w:r>
      <w:r w:rsidR="008E4F28" w:rsidRPr="0002287B">
        <w:rPr>
          <w:rFonts w:ascii="Tahoma" w:hAnsi="Tahoma" w:cs="Tahoma"/>
          <w:lang w:val="it-IT"/>
        </w:rPr>
        <w:t>”</w:t>
      </w:r>
      <w:r w:rsidRPr="0002287B">
        <w:rPr>
          <w:rFonts w:ascii="Tahoma" w:hAnsi="Tahoma" w:cs="Tahoma"/>
          <w:lang w:val="it-IT"/>
        </w:rPr>
        <w:t xml:space="preserve"> che il licenziatario ottiene sono individuabili singolarmente e il licenziatario è responsabile del loro utilizzo e della loro protezione.</w:t>
      </w:r>
      <w:r w:rsidR="00185DBA" w:rsidRPr="00DC65B4">
        <w:rPr>
          <w:rFonts w:ascii="Tahoma" w:hAnsi="Tahoma" w:cs="Tahoma"/>
          <w:lang w:val="it-IT"/>
        </w:rPr>
        <w:t xml:space="preserve"> </w:t>
      </w:r>
      <w:r w:rsidRPr="0002287B">
        <w:rPr>
          <w:rFonts w:ascii="Tahoma" w:hAnsi="Tahoma" w:cs="Tahoma"/>
          <w:lang w:val="it-IT"/>
        </w:rPr>
        <w:t xml:space="preserve">Il licenziatario dovrà garantire che i codici </w:t>
      </w:r>
      <w:r w:rsidR="008E4F28" w:rsidRPr="0002287B">
        <w:rPr>
          <w:rFonts w:ascii="Tahoma" w:hAnsi="Tahoma" w:cs="Tahoma"/>
          <w:lang w:val="it-IT"/>
        </w:rPr>
        <w:t>“</w:t>
      </w:r>
      <w:r w:rsidRPr="0002287B">
        <w:rPr>
          <w:rFonts w:ascii="Tahoma" w:hAnsi="Tahoma" w:cs="Tahoma"/>
          <w:lang w:val="it-IT"/>
        </w:rPr>
        <w:t>Product Key</w:t>
      </w:r>
      <w:r w:rsidR="008E4F28" w:rsidRPr="0002287B">
        <w:rPr>
          <w:rFonts w:ascii="Tahoma" w:hAnsi="Tahoma" w:cs="Tahoma"/>
          <w:lang w:val="it-IT"/>
        </w:rPr>
        <w:t>”</w:t>
      </w:r>
      <w:r w:rsidRPr="0002287B">
        <w:rPr>
          <w:rFonts w:ascii="Tahoma" w:hAnsi="Tahoma" w:cs="Tahoma"/>
          <w:lang w:val="it-IT"/>
        </w:rPr>
        <w:t xml:space="preserve"> vengano utilizzati solo quando sono autorizzati.</w:t>
      </w:r>
      <w:r w:rsidR="00185DBA" w:rsidRPr="00DC65B4">
        <w:rPr>
          <w:rFonts w:ascii="Tahoma" w:hAnsi="Tahoma" w:cs="Tahoma"/>
          <w:lang w:val="it-IT"/>
        </w:rPr>
        <w:t xml:space="preserve"> </w:t>
      </w:r>
      <w:r w:rsidR="00C7210B" w:rsidRPr="0002287B">
        <w:rPr>
          <w:rFonts w:ascii="Tahoma" w:hAnsi="Tahoma" w:cs="Tahoma"/>
          <w:lang w:val="it-IT"/>
        </w:rPr>
        <w:t>Per ulteriori informazioni sulla pirateria e su come la propria organizzazione può proteggersi, il licenziatario potrà visitare l</w:t>
      </w:r>
      <w:r w:rsidR="008E4F28" w:rsidRPr="0002287B">
        <w:rPr>
          <w:rFonts w:ascii="Tahoma" w:hAnsi="Tahoma" w:cs="Tahoma"/>
          <w:lang w:val="it-IT"/>
        </w:rPr>
        <w:t>’</w:t>
      </w:r>
      <w:r w:rsidR="00C7210B" w:rsidRPr="0002287B">
        <w:rPr>
          <w:rFonts w:ascii="Tahoma" w:hAnsi="Tahoma" w:cs="Tahoma"/>
          <w:lang w:val="it-IT"/>
        </w:rPr>
        <w:t xml:space="preserve">indirizzo </w:t>
      </w:r>
      <w:hyperlink r:id="rId11" w:history="1">
        <w:r w:rsidR="00C7210B" w:rsidRPr="0002287B">
          <w:rPr>
            <w:rStyle w:val="Hyperlink"/>
            <w:rFonts w:ascii="Tahoma" w:hAnsi="Tahoma" w:cs="Tahoma"/>
            <w:lang w:val="it-IT"/>
          </w:rPr>
          <w:t>http://www.microsoft.com/piracy/</w:t>
        </w:r>
      </w:hyperlink>
      <w:r w:rsidR="00C7210B" w:rsidRPr="0002287B">
        <w:rPr>
          <w:rFonts w:ascii="Tahoma" w:hAnsi="Tahoma" w:cs="Tahoma"/>
          <w:lang w:val="it-IT"/>
        </w:rPr>
        <w:t>.</w:t>
      </w:r>
    </w:p>
    <w:p w:rsidR="00FA6CE6" w:rsidRPr="00DC65B4" w:rsidRDefault="00FA6CE6" w:rsidP="00FA6CE6">
      <w:pPr>
        <w:pStyle w:val="Firstpara"/>
        <w:spacing w:before="0"/>
        <w:ind w:left="360"/>
        <w:jc w:val="both"/>
        <w:rPr>
          <w:rFonts w:ascii="Tahoma" w:hAnsi="Tahoma" w:cs="Tahoma"/>
          <w:lang w:val="it-IT"/>
        </w:rPr>
      </w:pPr>
    </w:p>
    <w:p w:rsidR="00CC3B64" w:rsidRPr="00DC65B4" w:rsidRDefault="00530A04" w:rsidP="00185DBA">
      <w:pPr>
        <w:pStyle w:val="Firstpara"/>
        <w:numPr>
          <w:ilvl w:val="0"/>
          <w:numId w:val="14"/>
        </w:numPr>
        <w:spacing w:before="0"/>
        <w:jc w:val="both"/>
        <w:rPr>
          <w:rFonts w:ascii="Tahoma" w:hAnsi="Tahoma" w:cs="Tahoma"/>
          <w:lang w:val="it-IT"/>
        </w:rPr>
      </w:pPr>
      <w:r w:rsidRPr="0002287B">
        <w:rPr>
          <w:rFonts w:ascii="Tahoma" w:hAnsi="Tahoma" w:cs="Tahoma"/>
          <w:b/>
          <w:lang w:val="it-IT"/>
        </w:rPr>
        <w:t>Software Potenzialmente Virale.</w:t>
      </w:r>
      <w:r w:rsidR="00185DBA" w:rsidRPr="00DC65B4">
        <w:rPr>
          <w:rFonts w:ascii="Tahoma" w:hAnsi="Tahoma" w:cs="Tahoma"/>
          <w:lang w:val="it-IT"/>
        </w:rPr>
        <w:t xml:space="preserve"> </w:t>
      </w:r>
      <w:r w:rsidRPr="0002287B">
        <w:rPr>
          <w:rFonts w:ascii="Tahoma" w:hAnsi="Tahoma" w:cs="Tahoma"/>
          <w:lang w:val="it-IT"/>
        </w:rPr>
        <w:t>I diritti di licenza concessi al licenziatario ai sensi del Contratto e/o del Contratto Academic dipendono dalla conformità del licenziatario alle seguenti condizioni:</w:t>
      </w:r>
      <w:r w:rsidR="00185DBA" w:rsidRPr="00DC65B4">
        <w:rPr>
          <w:rFonts w:ascii="Tahoma" w:hAnsi="Tahoma" w:cs="Tahoma"/>
          <w:lang w:val="it-IT"/>
        </w:rPr>
        <w:t xml:space="preserve"> </w:t>
      </w:r>
      <w:r w:rsidR="00CC3B64" w:rsidRPr="0002287B">
        <w:rPr>
          <w:rFonts w:ascii="Tahoma" w:hAnsi="Tahoma" w:cs="Tahoma"/>
          <w:lang w:val="it-IT"/>
        </w:rPr>
        <w:t>il licenziatario non dovrà:</w:t>
      </w:r>
      <w:r w:rsidR="00185DBA" w:rsidRPr="00DC65B4">
        <w:rPr>
          <w:rFonts w:ascii="Tahoma" w:hAnsi="Tahoma" w:cs="Tahoma"/>
          <w:lang w:val="it-IT"/>
        </w:rPr>
        <w:t xml:space="preserve"> </w:t>
      </w:r>
      <w:r w:rsidRPr="0002287B">
        <w:rPr>
          <w:rFonts w:ascii="Tahoma" w:hAnsi="Tahoma" w:cs="Tahoma"/>
          <w:lang w:val="it-IT"/>
        </w:rPr>
        <w:lastRenderedPageBreak/>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185DBA">
        <w:rPr>
          <w:rFonts w:ascii="Tahoma" w:hAnsi="Tahoma" w:cs="Tahoma"/>
          <w:lang w:val="it-IT"/>
        </w:rPr>
        <w:t> </w:t>
      </w:r>
      <w:r w:rsidRPr="0002287B">
        <w:rPr>
          <w:rFonts w:ascii="Tahoma" w:hAnsi="Tahoma" w:cs="Tahoma"/>
          <w:lang w:val="it-IT"/>
        </w:rPr>
        <w:t>utilizzare Software Potenzialmente Virale nello sviluppo di qualsiasi lavoro derivato correlato a qualsiasi Prodotto o Documentazione Software.</w:t>
      </w:r>
      <w:r w:rsidR="00185DBA" w:rsidRPr="00DC65B4">
        <w:rPr>
          <w:rFonts w:ascii="Tahoma" w:hAnsi="Tahoma" w:cs="Tahoma"/>
          <w:lang w:val="it-IT"/>
        </w:rPr>
        <w:t xml:space="preserve"> </w:t>
      </w:r>
      <w:r w:rsidR="008E4F28" w:rsidRPr="0002287B">
        <w:rPr>
          <w:rFonts w:ascii="Tahoma" w:hAnsi="Tahoma" w:cs="Tahoma"/>
          <w:lang w:val="it-IT"/>
        </w:rPr>
        <w:t>“</w:t>
      </w:r>
      <w:r w:rsidRPr="0002287B">
        <w:rPr>
          <w:rFonts w:ascii="Tahoma" w:hAnsi="Tahoma" w:cs="Tahoma"/>
          <w:lang w:val="it-IT"/>
        </w:rPr>
        <w:t>Software Potenzialmente Virale</w:t>
      </w:r>
      <w:r w:rsidR="008E4F28" w:rsidRPr="0002287B">
        <w:rPr>
          <w:rFonts w:ascii="Tahoma" w:hAnsi="Tahoma" w:cs="Tahoma"/>
          <w:lang w:val="it-IT"/>
        </w:rPr>
        <w:t>”</w:t>
      </w:r>
      <w:r w:rsidRPr="0002287B">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w:t>
      </w:r>
      <w:r w:rsidR="00185DBA" w:rsidRPr="00DC65B4">
        <w:rPr>
          <w:rFonts w:ascii="Tahoma" w:hAnsi="Tahoma" w:cs="Tahoma"/>
          <w:lang w:val="it-IT"/>
        </w:rPr>
        <w:t xml:space="preserve"> </w:t>
      </w:r>
      <w:r w:rsidRPr="0002287B">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185DBA" w:rsidRPr="00DC65B4">
        <w:rPr>
          <w:rFonts w:ascii="Tahoma" w:hAnsi="Tahoma" w:cs="Tahoma"/>
          <w:lang w:val="it-IT"/>
        </w:rPr>
        <w:t xml:space="preserve"> </w:t>
      </w:r>
      <w:r w:rsidR="00CC3B64" w:rsidRPr="0002287B">
        <w:rPr>
          <w:rFonts w:ascii="Tahoma" w:hAnsi="Tahoma" w:cs="Tahoma"/>
          <w:lang w:val="it-IT"/>
        </w:rPr>
        <w:t>(a) divulgato o distribuito nel formato di codice sorgente, (b)</w:t>
      </w:r>
      <w:r w:rsidR="00185DBA">
        <w:rPr>
          <w:rFonts w:ascii="Tahoma" w:hAnsi="Tahoma" w:cs="Tahoma"/>
          <w:lang w:val="it-IT"/>
        </w:rPr>
        <w:t> </w:t>
      </w:r>
      <w:r w:rsidR="00CC3B64" w:rsidRPr="0002287B">
        <w:rPr>
          <w:rFonts w:ascii="Tahoma" w:hAnsi="Tahoma" w:cs="Tahoma"/>
          <w:lang w:val="it-IT"/>
        </w:rPr>
        <w:t>concesso in licenza allo scopo di creare materiale correlato o (c) ridistribuibile senza alcun costo aggiuntivo.</w:t>
      </w:r>
    </w:p>
    <w:p w:rsidR="003F3497" w:rsidRPr="00DC65B4" w:rsidRDefault="003F3497" w:rsidP="003F3497">
      <w:pPr>
        <w:rPr>
          <w:rFonts w:ascii="Tahoma" w:hAnsi="Tahoma" w:cs="Tahoma"/>
          <w:lang w:val="it-IT"/>
        </w:rPr>
      </w:pPr>
    </w:p>
    <w:p w:rsidR="003F3497" w:rsidRPr="00DC65B4" w:rsidRDefault="00530A04" w:rsidP="003F3497">
      <w:pPr>
        <w:numPr>
          <w:ilvl w:val="0"/>
          <w:numId w:val="14"/>
        </w:numPr>
        <w:rPr>
          <w:rFonts w:ascii="Tahoma" w:hAnsi="Tahoma" w:cs="Tahoma"/>
          <w:lang w:val="it-IT"/>
        </w:rPr>
      </w:pPr>
      <w:r w:rsidRPr="0002287B">
        <w:rPr>
          <w:rFonts w:ascii="Tahoma" w:hAnsi="Tahoma" w:cs="Tahoma"/>
          <w:b/>
          <w:lang w:val="it-IT"/>
        </w:rPr>
        <w:t>Server Liberi da Virus.</w:t>
      </w:r>
      <w:r w:rsidR="00185DBA" w:rsidRPr="00DC65B4">
        <w:rPr>
          <w:rFonts w:ascii="Tahoma" w:hAnsi="Tahoma" w:cs="Tahoma"/>
          <w:lang w:val="it-IT"/>
        </w:rPr>
        <w:t xml:space="preserve"> </w:t>
      </w:r>
      <w:r w:rsidRPr="0002287B">
        <w:rPr>
          <w:rFonts w:ascii="Tahoma" w:hAnsi="Tahoma" w:cs="Tahoma"/>
          <w:lang w:val="it-IT"/>
        </w:rPr>
        <w:t>Per i prodotti per i quali è stato autorizzato il download elettronico (vedere la lista dei prodotti) il licenziatario dovrà garantire che i server che ospitano un Prodotto nell</w:t>
      </w:r>
      <w:r w:rsidR="008E4F28" w:rsidRPr="0002287B">
        <w:rPr>
          <w:rFonts w:ascii="Tahoma" w:hAnsi="Tahoma" w:cs="Tahoma"/>
          <w:lang w:val="it-IT"/>
        </w:rPr>
        <w:t>’</w:t>
      </w:r>
      <w:r w:rsidRPr="0002287B">
        <w:rPr>
          <w:rFonts w:ascii="Tahoma" w:hAnsi="Tahoma" w:cs="Tahoma"/>
          <w:lang w:val="it-IT"/>
        </w:rPr>
        <w:t>ambito di una Soluzione Unificata per il download elettronico non contengano virus o altro software dannoso.</w:t>
      </w:r>
    </w:p>
    <w:p w:rsidR="00CC3B64" w:rsidRPr="00DC65B4" w:rsidRDefault="00CC3B64" w:rsidP="00CC3B64">
      <w:pPr>
        <w:pStyle w:val="Firstpara"/>
        <w:spacing w:before="0"/>
        <w:ind w:left="0"/>
        <w:jc w:val="both"/>
        <w:rPr>
          <w:rFonts w:ascii="Tahoma" w:hAnsi="Tahoma" w:cs="Tahoma"/>
          <w:lang w:val="it-IT"/>
        </w:rPr>
      </w:pPr>
    </w:p>
    <w:p w:rsidR="00CC3B64" w:rsidRPr="00DC65B4" w:rsidRDefault="00530A04" w:rsidP="00CC3B64">
      <w:pPr>
        <w:pStyle w:val="Firstpara"/>
        <w:numPr>
          <w:ilvl w:val="0"/>
          <w:numId w:val="14"/>
        </w:numPr>
        <w:spacing w:before="0"/>
        <w:jc w:val="both"/>
        <w:rPr>
          <w:rFonts w:ascii="Tahoma" w:hAnsi="Tahoma" w:cs="Tahoma"/>
          <w:lang w:val="it-IT"/>
        </w:rPr>
      </w:pPr>
      <w:r w:rsidRPr="0002287B">
        <w:rPr>
          <w:rFonts w:ascii="Tahoma" w:hAnsi="Tahoma" w:cs="Tahoma"/>
          <w:b/>
          <w:lang w:val="it-IT"/>
        </w:rPr>
        <w:t>Requisiti per la Licenza.</w:t>
      </w:r>
      <w:r w:rsidR="00185DBA" w:rsidRPr="00DC65B4">
        <w:rPr>
          <w:rFonts w:ascii="Tahoma" w:hAnsi="Tahoma" w:cs="Tahoma"/>
          <w:lang w:val="it-IT"/>
        </w:rPr>
        <w:t xml:space="preserve"> </w:t>
      </w:r>
      <w:r w:rsidRPr="0002287B">
        <w:rPr>
          <w:rFonts w:ascii="Tahoma" w:hAnsi="Tahoma" w:cs="Tahoma"/>
          <w:lang w:val="it-IT"/>
        </w:rPr>
        <w:t>Il licenziatario dovrà specificare nel contratto di licenza con l</w:t>
      </w:r>
      <w:r w:rsidR="008E4F28" w:rsidRPr="0002287B">
        <w:rPr>
          <w:rFonts w:ascii="Tahoma" w:hAnsi="Tahoma" w:cs="Tahoma"/>
          <w:lang w:val="it-IT"/>
        </w:rPr>
        <w:t>’</w:t>
      </w:r>
      <w:r w:rsidRPr="0002287B">
        <w:rPr>
          <w:rFonts w:ascii="Tahoma" w:hAnsi="Tahoma" w:cs="Tahoma"/>
          <w:lang w:val="it-IT"/>
        </w:rPr>
        <w:t>utente finale, per ogni utente finale, la quantità e il tipo (ad esempio server, accesso client, processore, dispositivo e così via) di licenze che fornisce all</w:t>
      </w:r>
      <w:r w:rsidR="008E4F28" w:rsidRPr="0002287B">
        <w:rPr>
          <w:rFonts w:ascii="Tahoma" w:hAnsi="Tahoma" w:cs="Tahoma"/>
          <w:lang w:val="it-IT"/>
        </w:rPr>
        <w:t>’</w:t>
      </w:r>
      <w:r w:rsidRPr="0002287B">
        <w:rPr>
          <w:rFonts w:ascii="Tahoma" w:hAnsi="Tahoma" w:cs="Tahoma"/>
          <w:lang w:val="it-IT"/>
        </w:rPr>
        <w:t>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185DBA" w:rsidRPr="00DC65B4">
        <w:rPr>
          <w:rFonts w:ascii="Tahoma" w:hAnsi="Tahoma" w:cs="Tahoma"/>
          <w:lang w:val="it-IT"/>
        </w:rPr>
        <w:t xml:space="preserve"> </w:t>
      </w:r>
      <w:r w:rsidRPr="0002287B">
        <w:rPr>
          <w:rFonts w:ascii="Tahoma" w:hAnsi="Tahoma" w:cs="Tahoma"/>
          <w:lang w:val="it-IT"/>
        </w:rPr>
        <w:t>Il licenziatario è responsabile dell</w:t>
      </w:r>
      <w:r w:rsidR="008E4F28" w:rsidRPr="0002287B">
        <w:rPr>
          <w:rFonts w:ascii="Tahoma" w:hAnsi="Tahoma" w:cs="Tahoma"/>
          <w:lang w:val="it-IT"/>
        </w:rPr>
        <w:t>’</w:t>
      </w:r>
      <w:r w:rsidRPr="0002287B">
        <w:rPr>
          <w:rFonts w:ascii="Tahoma" w:hAnsi="Tahoma" w:cs="Tahoma"/>
          <w:lang w:val="it-IT"/>
        </w:rPr>
        <w:t>acquisto e della distribuzione della quantità e del tipo appropriati di licenze (ad esempio, licenze CAL e licenze di gestione) corrispondenti alla versione e all</w:t>
      </w:r>
      <w:r w:rsidR="008E4F28" w:rsidRPr="0002287B">
        <w:rPr>
          <w:rFonts w:ascii="Tahoma" w:hAnsi="Tahoma" w:cs="Tahoma"/>
          <w:lang w:val="it-IT"/>
        </w:rPr>
        <w:t>’</w:t>
      </w:r>
      <w:r w:rsidRPr="0002287B">
        <w:rPr>
          <w:rFonts w:ascii="Tahoma" w:hAnsi="Tahoma" w:cs="Tahoma"/>
          <w:lang w:val="it-IT"/>
        </w:rPr>
        <w:t>edizione del Prodotto specificate dal licenziatario nel contratto di licenza con l</w:t>
      </w:r>
      <w:r w:rsidR="008E4F28" w:rsidRPr="0002287B">
        <w:rPr>
          <w:rFonts w:ascii="Tahoma" w:hAnsi="Tahoma" w:cs="Tahoma"/>
          <w:lang w:val="it-IT"/>
        </w:rPr>
        <w:t>’</w:t>
      </w:r>
      <w:r w:rsidRPr="0002287B">
        <w:rPr>
          <w:rFonts w:ascii="Tahoma" w:hAnsi="Tahoma" w:cs="Tahoma"/>
          <w:lang w:val="it-IT"/>
        </w:rPr>
        <w:t>utente finale per ogni distribuzione a utenti finali di una Soluzione Unificata contenente tale Prodotto.</w:t>
      </w:r>
      <w:r w:rsidR="00185DBA" w:rsidRPr="00DC65B4">
        <w:rPr>
          <w:rFonts w:ascii="Tahoma" w:hAnsi="Tahoma" w:cs="Tahoma"/>
          <w:lang w:val="it-IT"/>
        </w:rPr>
        <w:t xml:space="preserve"> </w:t>
      </w:r>
      <w:r w:rsidRPr="0002287B">
        <w:rPr>
          <w:rFonts w:ascii="Tahoma" w:hAnsi="Tahoma" w:cs="Tahoma"/>
          <w:lang w:val="it-IT"/>
        </w:rPr>
        <w:t>Il licenziatario dovrà concedere in licenza il Prodotto in conformità alle Condizioni di Licenza Microsoft applicabili.</w:t>
      </w:r>
    </w:p>
    <w:p w:rsidR="00AC12F9" w:rsidRPr="00DC65B4" w:rsidRDefault="00AC12F9" w:rsidP="00D412E5">
      <w:pPr>
        <w:rPr>
          <w:rFonts w:ascii="Tahoma" w:hAnsi="Tahoma" w:cs="Tahoma"/>
          <w:b/>
          <w:iCs/>
          <w:lang w:val="it-IT"/>
        </w:rPr>
      </w:pPr>
    </w:p>
    <w:p w:rsidR="00CC3B64" w:rsidRPr="00DC65B4" w:rsidRDefault="00530A04" w:rsidP="00CC3B64">
      <w:pPr>
        <w:numPr>
          <w:ilvl w:val="0"/>
          <w:numId w:val="14"/>
        </w:numPr>
        <w:jc w:val="both"/>
        <w:rPr>
          <w:rFonts w:ascii="Tahoma" w:hAnsi="Tahoma" w:cs="Tahoma"/>
          <w:lang w:val="it-IT"/>
        </w:rPr>
      </w:pPr>
      <w:r w:rsidRPr="0002287B">
        <w:rPr>
          <w:rFonts w:ascii="Tahoma" w:hAnsi="Tahoma" w:cs="Tahoma"/>
          <w:b/>
          <w:lang w:val="it-IT"/>
        </w:rPr>
        <w:t>Chiarimento sui Collegamenti a Siti di Terzi.</w:t>
      </w:r>
      <w:r w:rsidR="00185DBA" w:rsidRPr="00DC65B4">
        <w:rPr>
          <w:rFonts w:ascii="Tahoma" w:hAnsi="Tahoma" w:cs="Tahoma"/>
          <w:lang w:val="it-IT"/>
        </w:rPr>
        <w:t xml:space="preserve"> </w:t>
      </w:r>
      <w:r w:rsidRPr="0002287B">
        <w:rPr>
          <w:rFonts w:ascii="Tahoma" w:hAnsi="Tahoma" w:cs="Tahoma"/>
          <w:lang w:val="it-IT"/>
        </w:rPr>
        <w:t>I Prodotti che il licenziatario ottiene allo scopo di creare Soluzioni Unificate e che è autorizzato a Integrare, replicare e distribuire agli utenti finali potranno contenere collegamenti a siti di terzi.</w:t>
      </w:r>
      <w:r w:rsidR="00185DBA" w:rsidRPr="00DC65B4">
        <w:rPr>
          <w:rFonts w:ascii="Tahoma" w:hAnsi="Tahoma" w:cs="Tahoma"/>
          <w:lang w:val="it-IT"/>
        </w:rPr>
        <w:t xml:space="preserve"> </w:t>
      </w:r>
      <w:r w:rsidRPr="0002287B">
        <w:rPr>
          <w:rFonts w:ascii="Tahoma" w:hAnsi="Tahoma" w:cs="Tahoma"/>
          <w:lang w:val="it-IT"/>
        </w:rPr>
        <w:t>Tali siti collegati non sono sotto il controllo di Microsoft e pertanto Microsoft non è responsabile nei confronti del licenziatario o degli utenti finali di quest</w:t>
      </w:r>
      <w:r w:rsidR="008E4F28" w:rsidRPr="0002287B">
        <w:rPr>
          <w:rFonts w:ascii="Tahoma" w:hAnsi="Tahoma" w:cs="Tahoma"/>
          <w:lang w:val="it-IT"/>
        </w:rPr>
        <w:t>’</w:t>
      </w:r>
      <w:r w:rsidRPr="0002287B">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8E4F28" w:rsidRPr="0002287B">
        <w:rPr>
          <w:rFonts w:ascii="Tahoma" w:hAnsi="Tahoma" w:cs="Tahoma"/>
          <w:lang w:val="it-IT"/>
        </w:rPr>
        <w:t>’</w:t>
      </w:r>
      <w:r w:rsidRPr="0002287B">
        <w:rPr>
          <w:rFonts w:ascii="Tahoma" w:hAnsi="Tahoma" w:cs="Tahoma"/>
          <w:lang w:val="it-IT"/>
        </w:rPr>
        <w:t>ultimo qualora tali siti collegati non funzionino correttamente.</w:t>
      </w:r>
      <w:r w:rsidR="00185DBA" w:rsidRPr="00DC65B4">
        <w:rPr>
          <w:rFonts w:ascii="Tahoma" w:hAnsi="Tahoma" w:cs="Tahoma"/>
          <w:lang w:val="it-IT"/>
        </w:rPr>
        <w:t xml:space="preserve"> </w:t>
      </w:r>
      <w:r w:rsidRPr="0002287B">
        <w:rPr>
          <w:rFonts w:ascii="Tahoma" w:hAnsi="Tahoma" w:cs="Tahoma"/>
          <w:lang w:val="it-IT"/>
        </w:rPr>
        <w:t>Tali siti collegati sono forniti solo per motivi di praticità e l</w:t>
      </w:r>
      <w:r w:rsidR="008E4F28" w:rsidRPr="0002287B">
        <w:rPr>
          <w:rFonts w:ascii="Tahoma" w:hAnsi="Tahoma" w:cs="Tahoma"/>
          <w:lang w:val="it-IT"/>
        </w:rPr>
        <w:t>’</w:t>
      </w:r>
      <w:r w:rsidRPr="0002287B">
        <w:rPr>
          <w:rFonts w:ascii="Tahoma" w:hAnsi="Tahoma" w:cs="Tahoma"/>
          <w:lang w:val="it-IT"/>
        </w:rPr>
        <w:t>inserimento dei collegamenti non implica la loro approvazione da parte di Microsoft né l</w:t>
      </w:r>
      <w:r w:rsidR="008E4F28" w:rsidRPr="0002287B">
        <w:rPr>
          <w:rFonts w:ascii="Tahoma" w:hAnsi="Tahoma" w:cs="Tahoma"/>
          <w:lang w:val="it-IT"/>
        </w:rPr>
        <w:t>’</w:t>
      </w:r>
      <w:r w:rsidRPr="0002287B">
        <w:rPr>
          <w:rFonts w:ascii="Tahoma" w:hAnsi="Tahoma" w:cs="Tahoma"/>
          <w:lang w:val="it-IT"/>
        </w:rPr>
        <w:t>associazione di quest</w:t>
      </w:r>
      <w:r w:rsidR="008E4F28" w:rsidRPr="0002287B">
        <w:rPr>
          <w:rFonts w:ascii="Tahoma" w:hAnsi="Tahoma" w:cs="Tahoma"/>
          <w:lang w:val="it-IT"/>
        </w:rPr>
        <w:t>’</w:t>
      </w:r>
      <w:r w:rsidRPr="0002287B">
        <w:rPr>
          <w:rFonts w:ascii="Tahoma" w:hAnsi="Tahoma" w:cs="Tahoma"/>
          <w:lang w:val="it-IT"/>
        </w:rPr>
        <w:t>ultima con coloro che li gestiscono.</w:t>
      </w:r>
      <w:r w:rsidR="00185DBA" w:rsidRPr="00DC65B4">
        <w:rPr>
          <w:rFonts w:ascii="Tahoma" w:hAnsi="Tahoma" w:cs="Tahoma"/>
          <w:lang w:val="it-IT"/>
        </w:rPr>
        <w:t xml:space="preserve"> </w:t>
      </w:r>
      <w:r w:rsidRPr="0002287B">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185DBA" w:rsidRPr="00DC65B4">
        <w:rPr>
          <w:rFonts w:ascii="Tahoma" w:hAnsi="Tahoma" w:cs="Tahoma"/>
          <w:lang w:val="it-IT"/>
        </w:rPr>
        <w:t xml:space="preserve"> </w:t>
      </w:r>
      <w:r w:rsidRPr="0002287B">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8E4F28" w:rsidRPr="0002287B">
        <w:rPr>
          <w:rFonts w:ascii="Tahoma" w:hAnsi="Tahoma" w:cs="Tahoma"/>
          <w:lang w:val="it-IT"/>
        </w:rPr>
        <w:t>’</w:t>
      </w:r>
      <w:r w:rsidRPr="0002287B">
        <w:rPr>
          <w:rFonts w:ascii="Tahoma" w:hAnsi="Tahoma" w:cs="Tahoma"/>
          <w:lang w:val="it-IT"/>
        </w:rPr>
        <w:t>utente finale e l</w:t>
      </w:r>
      <w:r w:rsidR="008E4F28" w:rsidRPr="0002287B">
        <w:rPr>
          <w:rFonts w:ascii="Tahoma" w:hAnsi="Tahoma" w:cs="Tahoma"/>
          <w:lang w:val="it-IT"/>
        </w:rPr>
        <w:t>’</w:t>
      </w:r>
      <w:r w:rsidRPr="0002287B">
        <w:rPr>
          <w:rFonts w:ascii="Tahoma" w:hAnsi="Tahoma" w:cs="Tahoma"/>
          <w:lang w:val="it-IT"/>
        </w:rPr>
        <w:t>inserzionista o altri terzi.</w:t>
      </w:r>
      <w:r w:rsidR="00185DBA" w:rsidRPr="00DC65B4">
        <w:rPr>
          <w:rFonts w:ascii="Tahoma" w:hAnsi="Tahoma" w:cs="Tahoma"/>
          <w:lang w:val="it-IT"/>
        </w:rPr>
        <w:t xml:space="preserve"> </w:t>
      </w:r>
      <w:r w:rsidRPr="0002287B">
        <w:rPr>
          <w:rFonts w:ascii="Tahoma" w:hAnsi="Tahoma" w:cs="Tahoma"/>
          <w:lang w:val="it-IT"/>
        </w:rPr>
        <w:t>Microsoft non è responsabile per alcuna parte di tali transazioni o promozioni.</w:t>
      </w:r>
    </w:p>
    <w:p w:rsidR="00185DBA" w:rsidRPr="00DC65B4" w:rsidRDefault="00185DBA" w:rsidP="00CC3B64">
      <w:pPr>
        <w:jc w:val="both"/>
        <w:rPr>
          <w:rFonts w:ascii="Tahoma" w:hAnsi="Tahoma" w:cs="Tahoma"/>
          <w:b/>
          <w:lang w:val="it-IT"/>
        </w:rPr>
      </w:pPr>
    </w:p>
    <w:p w:rsidR="00CC3B64" w:rsidRPr="00DC65B4" w:rsidRDefault="00CC3B64" w:rsidP="00CC3B64">
      <w:pPr>
        <w:numPr>
          <w:ilvl w:val="0"/>
          <w:numId w:val="14"/>
        </w:numPr>
        <w:jc w:val="both"/>
        <w:rPr>
          <w:rFonts w:ascii="Tahoma" w:hAnsi="Tahoma" w:cs="Tahoma"/>
          <w:b/>
          <w:lang w:val="it-IT"/>
        </w:rPr>
      </w:pPr>
      <w:r w:rsidRPr="0002287B">
        <w:rPr>
          <w:rFonts w:ascii="Tahoma" w:hAnsi="Tahoma" w:cs="Tahoma"/>
          <w:b/>
          <w:lang w:val="it-IT"/>
        </w:rPr>
        <w:t>Chiarimento riguardante le Licenze Edizione Education (</w:t>
      </w:r>
      <w:r w:rsidR="008E4F28" w:rsidRPr="0002287B">
        <w:rPr>
          <w:rFonts w:ascii="Tahoma" w:hAnsi="Tahoma" w:cs="Tahoma"/>
          <w:b/>
          <w:lang w:val="it-IT"/>
        </w:rPr>
        <w:t>“</w:t>
      </w:r>
      <w:r w:rsidRPr="0002287B">
        <w:rPr>
          <w:rFonts w:ascii="Tahoma" w:hAnsi="Tahoma" w:cs="Tahoma"/>
          <w:b/>
          <w:lang w:val="it-IT"/>
        </w:rPr>
        <w:t>Academic Edition</w:t>
      </w:r>
      <w:r w:rsidR="008E4F28" w:rsidRPr="0002287B">
        <w:rPr>
          <w:rFonts w:ascii="Tahoma" w:hAnsi="Tahoma" w:cs="Tahoma"/>
          <w:b/>
          <w:lang w:val="it-IT"/>
        </w:rPr>
        <w:t>”</w:t>
      </w:r>
      <w:r w:rsidRPr="0002287B">
        <w:rPr>
          <w:rFonts w:ascii="Tahoma" w:hAnsi="Tahoma" w:cs="Tahoma"/>
          <w:b/>
          <w:lang w:val="it-IT"/>
        </w:rPr>
        <w:t xml:space="preserve"> o </w:t>
      </w:r>
      <w:r w:rsidR="008E4F28" w:rsidRPr="0002287B">
        <w:rPr>
          <w:rFonts w:ascii="Tahoma" w:hAnsi="Tahoma" w:cs="Tahoma"/>
          <w:b/>
          <w:lang w:val="it-IT"/>
        </w:rPr>
        <w:t>“</w:t>
      </w:r>
      <w:r w:rsidRPr="0002287B">
        <w:rPr>
          <w:rFonts w:ascii="Tahoma" w:hAnsi="Tahoma" w:cs="Tahoma"/>
          <w:b/>
          <w:lang w:val="it-IT"/>
        </w:rPr>
        <w:t>AE</w:t>
      </w:r>
      <w:r w:rsidR="008E4F28" w:rsidRPr="0002287B">
        <w:rPr>
          <w:rFonts w:ascii="Tahoma" w:hAnsi="Tahoma" w:cs="Tahoma"/>
          <w:b/>
          <w:lang w:val="it-IT"/>
        </w:rPr>
        <w:t>”</w:t>
      </w:r>
      <w:r w:rsidRPr="0002287B">
        <w:rPr>
          <w:rFonts w:ascii="Tahoma" w:hAnsi="Tahoma" w:cs="Tahoma"/>
          <w:b/>
          <w:lang w:val="it-IT"/>
        </w:rPr>
        <w:t>).</w:t>
      </w:r>
      <w:r w:rsidR="00185DBA" w:rsidRPr="00DC65B4">
        <w:rPr>
          <w:rFonts w:ascii="Tahoma" w:hAnsi="Tahoma" w:cs="Tahoma"/>
          <w:lang w:val="it-IT"/>
        </w:rPr>
        <w:t xml:space="preserve"> </w:t>
      </w:r>
      <w:r w:rsidR="00530A04" w:rsidRPr="0002287B">
        <w:rPr>
          <w:rFonts w:ascii="Tahoma" w:hAnsi="Tahoma" w:cs="Tahoma"/>
          <w:lang w:val="it-IT"/>
        </w:rPr>
        <w:t>Qualora il licenziatario distribuisca Soluzioni Unificate contenenti Prodotti per le Edizioni Education, dovrà soddisfare i seguenti requisiti:</w:t>
      </w:r>
    </w:p>
    <w:p w:rsidR="00CC3B64" w:rsidRPr="00DC65B4" w:rsidRDefault="00CC3B64" w:rsidP="00CC3B64">
      <w:pPr>
        <w:jc w:val="both"/>
        <w:rPr>
          <w:rFonts w:ascii="Tahoma" w:hAnsi="Tahoma" w:cs="Tahoma"/>
          <w:b/>
          <w:lang w:val="it-IT"/>
        </w:rPr>
      </w:pPr>
    </w:p>
    <w:p w:rsidR="00CC3B64" w:rsidRPr="00DC65B4" w:rsidRDefault="00CC3B64" w:rsidP="00CC3B64">
      <w:pPr>
        <w:numPr>
          <w:ilvl w:val="0"/>
          <w:numId w:val="3"/>
        </w:numPr>
        <w:jc w:val="both"/>
        <w:rPr>
          <w:rFonts w:ascii="Tahoma" w:hAnsi="Tahoma" w:cs="Tahoma"/>
          <w:lang w:val="it-IT"/>
        </w:rPr>
      </w:pPr>
      <w:r w:rsidRPr="0002287B">
        <w:rPr>
          <w:rFonts w:ascii="Tahoma" w:hAnsi="Tahoma" w:cs="Tahoma"/>
          <w:lang w:val="it-IT"/>
        </w:rPr>
        <w:t>dovrà aver prima sottoscritto un modulo per Contratto Academic e per Iscrizione Academic e</w:t>
      </w:r>
    </w:p>
    <w:p w:rsidR="00CC3B64" w:rsidRPr="00DC65B4" w:rsidRDefault="00530A04" w:rsidP="00CC3B64">
      <w:pPr>
        <w:numPr>
          <w:ilvl w:val="0"/>
          <w:numId w:val="3"/>
        </w:numPr>
        <w:jc w:val="both"/>
        <w:rPr>
          <w:rFonts w:ascii="Tahoma" w:hAnsi="Tahoma" w:cs="Tahoma"/>
          <w:spacing w:val="-2"/>
          <w:lang w:val="it-IT"/>
        </w:rPr>
      </w:pPr>
      <w:r w:rsidRPr="00185DBA">
        <w:rPr>
          <w:rFonts w:ascii="Tahoma" w:hAnsi="Tahoma" w:cs="Tahoma"/>
          <w:spacing w:val="-2"/>
          <w:lang w:val="it-IT"/>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8E4F28" w:rsidRPr="00185DBA">
        <w:rPr>
          <w:rFonts w:ascii="Tahoma" w:hAnsi="Tahoma" w:cs="Tahoma"/>
          <w:spacing w:val="-2"/>
          <w:lang w:val="it-IT"/>
        </w:rPr>
        <w:t>’</w:t>
      </w:r>
      <w:r w:rsidRPr="00185DBA">
        <w:rPr>
          <w:rFonts w:ascii="Tahoma" w:hAnsi="Tahoma" w:cs="Tahoma"/>
          <w:spacing w:val="-2"/>
          <w:lang w:val="it-IT"/>
        </w:rPr>
        <w:t>Iscrizione Academic e</w:t>
      </w:r>
    </w:p>
    <w:p w:rsidR="00CC3B64" w:rsidRPr="00DC65B4" w:rsidRDefault="00530A04" w:rsidP="00CC3B64">
      <w:pPr>
        <w:numPr>
          <w:ilvl w:val="0"/>
          <w:numId w:val="3"/>
        </w:numPr>
        <w:jc w:val="both"/>
        <w:rPr>
          <w:rFonts w:ascii="Tahoma" w:hAnsi="Tahoma" w:cs="Tahoma"/>
          <w:lang w:val="it-IT"/>
        </w:rPr>
      </w:pPr>
      <w:r w:rsidRPr="0002287B">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185DBA" w:rsidRPr="00DC65B4">
        <w:rPr>
          <w:rFonts w:ascii="Tahoma" w:hAnsi="Tahoma" w:cs="Tahoma"/>
          <w:lang w:val="it-IT"/>
        </w:rPr>
        <w:t xml:space="preserve"> </w:t>
      </w:r>
    </w:p>
    <w:p w:rsidR="00CC3B64" w:rsidRPr="00DC65B4" w:rsidRDefault="00CC3B64" w:rsidP="00CC3B64">
      <w:pPr>
        <w:ind w:firstLine="720"/>
        <w:jc w:val="both"/>
        <w:rPr>
          <w:rFonts w:ascii="Tahoma" w:hAnsi="Tahoma" w:cs="Tahoma"/>
          <w:lang w:val="it-IT"/>
        </w:rPr>
      </w:pPr>
    </w:p>
    <w:p w:rsidR="00CC3B64" w:rsidRPr="00DC65B4" w:rsidRDefault="00530A04" w:rsidP="00CC3B64">
      <w:pPr>
        <w:ind w:firstLine="360"/>
        <w:jc w:val="both"/>
        <w:rPr>
          <w:rFonts w:ascii="Tahoma" w:hAnsi="Tahoma" w:cs="Tahoma"/>
          <w:lang w:val="it-IT"/>
        </w:rPr>
      </w:pPr>
      <w:r w:rsidRPr="0002287B">
        <w:rPr>
          <w:rFonts w:ascii="Tahoma" w:hAnsi="Tahoma" w:cs="Tahoma"/>
          <w:lang w:val="it-IT"/>
        </w:rPr>
        <w:t>I criteri riguardanti gli utenti finali Education qualificati sono specificati nell</w:t>
      </w:r>
      <w:r w:rsidR="008E4F28" w:rsidRPr="0002287B">
        <w:rPr>
          <w:rFonts w:ascii="Tahoma" w:hAnsi="Tahoma" w:cs="Tahoma"/>
          <w:lang w:val="it-IT"/>
        </w:rPr>
        <w:t>’</w:t>
      </w:r>
      <w:r w:rsidRPr="0002287B">
        <w:rPr>
          <w:rFonts w:ascii="Tahoma" w:hAnsi="Tahoma" w:cs="Tahoma"/>
          <w:lang w:val="it-IT"/>
        </w:rPr>
        <w:t>Iscrizione Academic.</w:t>
      </w:r>
    </w:p>
    <w:p w:rsidR="009E28CD" w:rsidRPr="00DC65B4" w:rsidRDefault="009E28CD" w:rsidP="00D412E5">
      <w:pPr>
        <w:rPr>
          <w:rFonts w:ascii="Tahoma" w:hAnsi="Tahoma" w:cs="Tahoma"/>
          <w:iCs/>
          <w:lang w:val="it-IT"/>
        </w:rPr>
      </w:pPr>
    </w:p>
    <w:p w:rsidR="00554191" w:rsidRPr="00DC65B4" w:rsidRDefault="00530A04" w:rsidP="00554191">
      <w:pPr>
        <w:pStyle w:val="Firstpara"/>
        <w:numPr>
          <w:ilvl w:val="0"/>
          <w:numId w:val="14"/>
        </w:numPr>
        <w:spacing w:before="0"/>
        <w:jc w:val="both"/>
        <w:rPr>
          <w:rFonts w:ascii="Tahoma" w:hAnsi="Tahoma" w:cs="Tahoma"/>
          <w:b/>
          <w:lang w:val="it-IT"/>
        </w:rPr>
      </w:pPr>
      <w:r w:rsidRPr="0002287B">
        <w:rPr>
          <w:rFonts w:ascii="Tahoma" w:hAnsi="Tahoma" w:cs="Tahoma"/>
          <w:b/>
          <w:lang w:val="it-IT"/>
        </w:rPr>
        <w:lastRenderedPageBreak/>
        <w:t>Chiarimenti riguardanti le Copie Principali.</w:t>
      </w:r>
      <w:r w:rsidR="00185DBA" w:rsidRPr="00DC65B4">
        <w:rPr>
          <w:rFonts w:ascii="Tahoma" w:hAnsi="Tahoma" w:cs="Tahoma"/>
          <w:lang w:val="it-IT"/>
        </w:rPr>
        <w:t xml:space="preserve"> </w:t>
      </w:r>
      <w:r w:rsidRPr="0002287B">
        <w:rPr>
          <w:rFonts w:ascii="Tahoma" w:hAnsi="Tahoma" w:cs="Tahoma"/>
          <w:color w:val="000000"/>
          <w:lang w:val="it-IT"/>
        </w:rPr>
        <w:t>Indipendentemente da qualsiasi altra disposizione contenuta nel Contratto e/o nel Contratto Academic:</w:t>
      </w:r>
    </w:p>
    <w:p w:rsidR="00554191" w:rsidRPr="00DC65B4" w:rsidRDefault="00554191" w:rsidP="00554191">
      <w:pPr>
        <w:jc w:val="both"/>
        <w:rPr>
          <w:rFonts w:ascii="Tahoma" w:hAnsi="Tahoma" w:cs="Tahoma"/>
          <w:b/>
          <w:lang w:val="it-IT"/>
        </w:rPr>
      </w:pPr>
    </w:p>
    <w:p w:rsidR="00554191" w:rsidRPr="00DC65B4" w:rsidRDefault="00530A04" w:rsidP="00554191">
      <w:pPr>
        <w:numPr>
          <w:ilvl w:val="0"/>
          <w:numId w:val="2"/>
        </w:numPr>
        <w:tabs>
          <w:tab w:val="clear" w:pos="720"/>
        </w:tabs>
        <w:ind w:left="1260"/>
        <w:jc w:val="both"/>
        <w:rPr>
          <w:rFonts w:ascii="Tahoma" w:hAnsi="Tahoma" w:cs="Tahoma"/>
          <w:b/>
          <w:lang w:val="it-IT"/>
        </w:rPr>
      </w:pPr>
      <w:r w:rsidRPr="0002287B">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785537" w:rsidRPr="00DC65B4" w:rsidRDefault="00530A04" w:rsidP="00072BE0">
      <w:pPr>
        <w:numPr>
          <w:ilvl w:val="0"/>
          <w:numId w:val="2"/>
        </w:numPr>
        <w:tabs>
          <w:tab w:val="clear" w:pos="720"/>
        </w:tabs>
        <w:ind w:left="1260"/>
        <w:jc w:val="both"/>
        <w:rPr>
          <w:rStyle w:val="Hyperlink"/>
          <w:rFonts w:ascii="Tahoma" w:hAnsi="Tahoma" w:cs="Tahoma"/>
          <w:color w:val="auto"/>
          <w:u w:val="none"/>
          <w:lang w:val="it-IT"/>
        </w:rPr>
      </w:pPr>
      <w:r w:rsidRPr="0002287B">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785537" w:rsidRPr="00DC65B4" w:rsidSect="00DC65B4">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BF0" w:rsidRDefault="00BD1BF0">
      <w:r>
        <w:separator/>
      </w:r>
    </w:p>
  </w:endnote>
  <w:endnote w:type="continuationSeparator" w:id="0">
    <w:p w:rsidR="00BD1BF0" w:rsidRDefault="00BD1BF0">
      <w:r>
        <w:continuationSeparator/>
      </w:r>
    </w:p>
  </w:endnote>
  <w:endnote w:type="continuationNotice" w:id="1">
    <w:p w:rsidR="00BD1BF0" w:rsidRDefault="00BD1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BA" w:rsidRPr="009E2ED0" w:rsidRDefault="00185DBA" w:rsidP="00185DB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C52B5">
      <w:rPr>
        <w:rFonts w:cs="Times New Roman"/>
        <w:noProof/>
      </w:rPr>
      <w:t>7</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6C52B5">
      <w:rPr>
        <w:rStyle w:val="PageNumber"/>
        <w:noProof/>
      </w:rPr>
      <w:t>7</w:t>
    </w:r>
    <w:r w:rsidRPr="009E2ED0">
      <w:rPr>
        <w:rStyle w:val="PageNumber"/>
      </w:rPr>
      <w:fldChar w:fldCharType="end"/>
    </w:r>
  </w:p>
  <w:p w:rsidR="00185DBA" w:rsidRPr="009E2ED0" w:rsidRDefault="00185DBA" w:rsidP="00185DBA">
    <w:pPr>
      <w:pStyle w:val="Footer"/>
      <w:tabs>
        <w:tab w:val="clear" w:pos="8640"/>
        <w:tab w:val="right" w:pos="8280"/>
      </w:tabs>
      <w:rPr>
        <w:rFonts w:cs="Times New Roman"/>
        <w:i/>
      </w:rPr>
    </w:pPr>
    <w:r w:rsidRPr="009E2ED0">
      <w:rPr>
        <w:rFonts w:cs="Times New Roman"/>
        <w:i/>
        <w:snapToGrid w:val="0"/>
      </w:rPr>
      <w:t xml:space="preserve">Current as of </w:t>
    </w:r>
    <w:r w:rsidR="00DC65B4">
      <w:rPr>
        <w:rFonts w:cs="Times New Roman"/>
        <w:i/>
        <w:snapToGrid w:val="0"/>
      </w:rPr>
      <w:t>January</w:t>
    </w:r>
    <w:r>
      <w:rPr>
        <w:rFonts w:cs="Times New Roman"/>
        <w:i/>
        <w:snapToGrid w:val="0"/>
      </w:rPr>
      <w:t xml:space="preserve"> 1</w:t>
    </w:r>
    <w:r w:rsidRPr="009E2ED0">
      <w:rPr>
        <w:rFonts w:cs="Times New Roman"/>
        <w:i/>
        <w:snapToGrid w:val="0"/>
      </w:rPr>
      <w:t xml:space="preserve">, </w:t>
    </w:r>
    <w:r>
      <w:rPr>
        <w:rFonts w:cs="Times New Roman"/>
        <w:i/>
        <w:snapToGrid w:val="0"/>
      </w:rPr>
      <w:t>201</w:t>
    </w:r>
    <w:r w:rsidR="00DC65B4">
      <w:rPr>
        <w:rFonts w:cs="Times New Roman"/>
        <w:i/>
        <w:snapToGrid w:val="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B4" w:rsidRPr="009E2ED0" w:rsidRDefault="00DC65B4" w:rsidP="00DC65B4">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C52B5">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6C52B5">
      <w:rPr>
        <w:rStyle w:val="PageNumber"/>
        <w:noProof/>
      </w:rPr>
      <w:t>7</w:t>
    </w:r>
    <w:r w:rsidRPr="009E2ED0">
      <w:rPr>
        <w:rStyle w:val="PageNumber"/>
      </w:rPr>
      <w:fldChar w:fldCharType="end"/>
    </w:r>
  </w:p>
  <w:p w:rsidR="00DC65B4" w:rsidRPr="009E2ED0" w:rsidRDefault="00DC65B4" w:rsidP="00DC65B4">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BF0" w:rsidRDefault="00BD1BF0">
      <w:r>
        <w:separator/>
      </w:r>
    </w:p>
  </w:footnote>
  <w:footnote w:type="continuationSeparator" w:id="0">
    <w:p w:rsidR="00BD1BF0" w:rsidRDefault="00BD1BF0">
      <w:r>
        <w:continuationSeparator/>
      </w:r>
    </w:p>
  </w:footnote>
  <w:footnote w:type="continuationNotice" w:id="1">
    <w:p w:rsidR="00BD1BF0" w:rsidRDefault="00BD1B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28" w:rsidRDefault="00775773" w:rsidP="000504F7">
    <w:pPr>
      <w:pStyle w:val="Header"/>
      <w:spacing w:before="240"/>
    </w:pPr>
    <w:r>
      <w:rPr>
        <w:noProof/>
      </w:rPr>
      <w:drawing>
        <wp:anchor distT="0" distB="0" distL="114300" distR="114300" simplePos="0" relativeHeight="251657728" behindDoc="0" locked="0" layoutInCell="1" allowOverlap="1" wp14:anchorId="23DD4A49" wp14:editId="7B779919">
          <wp:simplePos x="0" y="0"/>
          <wp:positionH relativeFrom="column">
            <wp:posOffset>-152400</wp:posOffset>
          </wp:positionH>
          <wp:positionV relativeFrom="paragraph">
            <wp:posOffset>-161925</wp:posOffset>
          </wp:positionV>
          <wp:extent cx="3257550" cy="201930"/>
          <wp:effectExtent l="0" t="0" r="0" b="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B4" w:rsidRDefault="00DC65B4" w:rsidP="00DC65B4">
    <w:pPr>
      <w:pStyle w:val="Header"/>
    </w:pPr>
    <w:r>
      <w:rPr>
        <w:noProof/>
      </w:rPr>
      <w:drawing>
        <wp:anchor distT="0" distB="0" distL="114300" distR="114300" simplePos="0" relativeHeight="251659776" behindDoc="0" locked="0" layoutInCell="1" allowOverlap="1" wp14:anchorId="36395855" wp14:editId="50FE7F48">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DC65B4" w:rsidRDefault="00DC65B4" w:rsidP="00DC65B4">
    <w:pPr>
      <w:pStyle w:val="Header"/>
    </w:pPr>
  </w:p>
  <w:p w:rsidR="00DC65B4" w:rsidRDefault="00DC65B4" w:rsidP="00DC6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A6BkNndiopxWXPaIGYmxZ811t8=" w:salt="CIhPmqYF1xyBBwZw/OmaE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287B"/>
    <w:rsid w:val="0002322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876CB"/>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0DC6"/>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BA"/>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0D14"/>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50F"/>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0B87"/>
    <w:rsid w:val="00331C2B"/>
    <w:rsid w:val="00335633"/>
    <w:rsid w:val="003358EB"/>
    <w:rsid w:val="003359AF"/>
    <w:rsid w:val="00335BE3"/>
    <w:rsid w:val="003427F2"/>
    <w:rsid w:val="00342FC8"/>
    <w:rsid w:val="00343547"/>
    <w:rsid w:val="0034679B"/>
    <w:rsid w:val="0034699E"/>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2CFD"/>
    <w:rsid w:val="00406C21"/>
    <w:rsid w:val="004153E4"/>
    <w:rsid w:val="00415C91"/>
    <w:rsid w:val="00415F69"/>
    <w:rsid w:val="00417326"/>
    <w:rsid w:val="004209D6"/>
    <w:rsid w:val="00420A94"/>
    <w:rsid w:val="004238A5"/>
    <w:rsid w:val="00423A4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1DEF"/>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2C30"/>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43C9"/>
    <w:rsid w:val="00515507"/>
    <w:rsid w:val="0051599D"/>
    <w:rsid w:val="00516B69"/>
    <w:rsid w:val="00516E19"/>
    <w:rsid w:val="00517A28"/>
    <w:rsid w:val="0052100B"/>
    <w:rsid w:val="00522EF1"/>
    <w:rsid w:val="005239C0"/>
    <w:rsid w:val="00524CDF"/>
    <w:rsid w:val="005255B5"/>
    <w:rsid w:val="005259DD"/>
    <w:rsid w:val="00530A04"/>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4E73"/>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660C7"/>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C52B5"/>
    <w:rsid w:val="006D12A6"/>
    <w:rsid w:val="006D1842"/>
    <w:rsid w:val="006D2E37"/>
    <w:rsid w:val="006D3BEC"/>
    <w:rsid w:val="006D6278"/>
    <w:rsid w:val="006E1A93"/>
    <w:rsid w:val="006E1EAD"/>
    <w:rsid w:val="006E3347"/>
    <w:rsid w:val="006E4D66"/>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4FB2"/>
    <w:rsid w:val="00775773"/>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2437"/>
    <w:rsid w:val="007C3832"/>
    <w:rsid w:val="007C4E84"/>
    <w:rsid w:val="007C5E96"/>
    <w:rsid w:val="007C658C"/>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7034"/>
    <w:rsid w:val="008D137C"/>
    <w:rsid w:val="008D28E1"/>
    <w:rsid w:val="008D540A"/>
    <w:rsid w:val="008D60CF"/>
    <w:rsid w:val="008D79F1"/>
    <w:rsid w:val="008E195C"/>
    <w:rsid w:val="008E45A4"/>
    <w:rsid w:val="008E4F28"/>
    <w:rsid w:val="008E581A"/>
    <w:rsid w:val="008E64A4"/>
    <w:rsid w:val="008F3108"/>
    <w:rsid w:val="008F3373"/>
    <w:rsid w:val="008F3E36"/>
    <w:rsid w:val="008F4C47"/>
    <w:rsid w:val="008F7002"/>
    <w:rsid w:val="008F7AFC"/>
    <w:rsid w:val="00902DAD"/>
    <w:rsid w:val="00903C7F"/>
    <w:rsid w:val="009051C0"/>
    <w:rsid w:val="00906078"/>
    <w:rsid w:val="009063C3"/>
    <w:rsid w:val="00907355"/>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831"/>
    <w:rsid w:val="0095694A"/>
    <w:rsid w:val="00956ADE"/>
    <w:rsid w:val="0095789E"/>
    <w:rsid w:val="00957BB4"/>
    <w:rsid w:val="00960704"/>
    <w:rsid w:val="00961B6D"/>
    <w:rsid w:val="00962D93"/>
    <w:rsid w:val="00965711"/>
    <w:rsid w:val="009677A4"/>
    <w:rsid w:val="0097075C"/>
    <w:rsid w:val="009714D4"/>
    <w:rsid w:val="009718F6"/>
    <w:rsid w:val="00973BF9"/>
    <w:rsid w:val="0097609B"/>
    <w:rsid w:val="00976F79"/>
    <w:rsid w:val="0098076A"/>
    <w:rsid w:val="00982E66"/>
    <w:rsid w:val="00983D0F"/>
    <w:rsid w:val="0098422A"/>
    <w:rsid w:val="009845FD"/>
    <w:rsid w:val="009860E7"/>
    <w:rsid w:val="00986428"/>
    <w:rsid w:val="0099040F"/>
    <w:rsid w:val="00995B21"/>
    <w:rsid w:val="00996301"/>
    <w:rsid w:val="0099711E"/>
    <w:rsid w:val="009971BE"/>
    <w:rsid w:val="009974E9"/>
    <w:rsid w:val="009A43E1"/>
    <w:rsid w:val="009A5292"/>
    <w:rsid w:val="009A7910"/>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FD0"/>
    <w:rsid w:val="00A022E0"/>
    <w:rsid w:val="00A02356"/>
    <w:rsid w:val="00A04F39"/>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5FD4"/>
    <w:rsid w:val="00B613E8"/>
    <w:rsid w:val="00B6185C"/>
    <w:rsid w:val="00B629D3"/>
    <w:rsid w:val="00B64AFF"/>
    <w:rsid w:val="00B66563"/>
    <w:rsid w:val="00B66A26"/>
    <w:rsid w:val="00B66E7B"/>
    <w:rsid w:val="00B6704C"/>
    <w:rsid w:val="00B7019D"/>
    <w:rsid w:val="00B701A0"/>
    <w:rsid w:val="00B70F32"/>
    <w:rsid w:val="00B72026"/>
    <w:rsid w:val="00B75502"/>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1BF0"/>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10B"/>
    <w:rsid w:val="00C72692"/>
    <w:rsid w:val="00C744D4"/>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60AD"/>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A6FF3"/>
    <w:rsid w:val="00DB39F3"/>
    <w:rsid w:val="00DB63AF"/>
    <w:rsid w:val="00DB6AE5"/>
    <w:rsid w:val="00DC056D"/>
    <w:rsid w:val="00DC1D34"/>
    <w:rsid w:val="00DC43E4"/>
    <w:rsid w:val="00DC48F2"/>
    <w:rsid w:val="00DC51A0"/>
    <w:rsid w:val="00DC65B4"/>
    <w:rsid w:val="00DC7DBC"/>
    <w:rsid w:val="00DD0C1E"/>
    <w:rsid w:val="00DD0C9A"/>
    <w:rsid w:val="00DD14C7"/>
    <w:rsid w:val="00DD17DF"/>
    <w:rsid w:val="00DD31B7"/>
    <w:rsid w:val="00DD456D"/>
    <w:rsid w:val="00DD5D93"/>
    <w:rsid w:val="00DD62FD"/>
    <w:rsid w:val="00DD7BAC"/>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5B3D"/>
    <w:rsid w:val="00E86980"/>
    <w:rsid w:val="00E92037"/>
    <w:rsid w:val="00E9436F"/>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0980"/>
    <w:rsid w:val="00EF228A"/>
    <w:rsid w:val="00EF54CB"/>
    <w:rsid w:val="00EF5DE2"/>
    <w:rsid w:val="00EF7DD2"/>
    <w:rsid w:val="00F0069E"/>
    <w:rsid w:val="00F01F3D"/>
    <w:rsid w:val="00F0213A"/>
    <w:rsid w:val="00F02E07"/>
    <w:rsid w:val="00F038FE"/>
    <w:rsid w:val="00F04726"/>
    <w:rsid w:val="00F11C8F"/>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277B"/>
    <w:rsid w:val="00F93B30"/>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08FB"/>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2799">
      <w:marLeft w:val="0"/>
      <w:marRight w:val="0"/>
      <w:marTop w:val="0"/>
      <w:marBottom w:val="0"/>
      <w:divBdr>
        <w:top w:val="none" w:sz="0" w:space="0" w:color="auto"/>
        <w:left w:val="none" w:sz="0" w:space="0" w:color="auto"/>
        <w:bottom w:val="none" w:sz="0" w:space="0" w:color="auto"/>
        <w:right w:val="none" w:sz="0" w:space="0" w:color="auto"/>
      </w:divBdr>
    </w:div>
    <w:div w:id="564072800">
      <w:marLeft w:val="0"/>
      <w:marRight w:val="0"/>
      <w:marTop w:val="0"/>
      <w:marBottom w:val="0"/>
      <w:divBdr>
        <w:top w:val="none" w:sz="0" w:space="0" w:color="auto"/>
        <w:left w:val="none" w:sz="0" w:space="0" w:color="auto"/>
        <w:bottom w:val="none" w:sz="0" w:space="0" w:color="auto"/>
        <w:right w:val="none" w:sz="0" w:space="0" w:color="auto"/>
      </w:divBdr>
    </w:div>
    <w:div w:id="564072801">
      <w:marLeft w:val="0"/>
      <w:marRight w:val="0"/>
      <w:marTop w:val="0"/>
      <w:marBottom w:val="0"/>
      <w:divBdr>
        <w:top w:val="none" w:sz="0" w:space="0" w:color="auto"/>
        <w:left w:val="none" w:sz="0" w:space="0" w:color="auto"/>
        <w:bottom w:val="none" w:sz="0" w:space="0" w:color="auto"/>
        <w:right w:val="none" w:sz="0" w:space="0" w:color="auto"/>
      </w:divBdr>
    </w:div>
    <w:div w:id="564072802">
      <w:marLeft w:val="0"/>
      <w:marRight w:val="0"/>
      <w:marTop w:val="0"/>
      <w:marBottom w:val="0"/>
      <w:divBdr>
        <w:top w:val="none" w:sz="0" w:space="0" w:color="auto"/>
        <w:left w:val="none" w:sz="0" w:space="0" w:color="auto"/>
        <w:bottom w:val="none" w:sz="0" w:space="0" w:color="auto"/>
        <w:right w:val="none" w:sz="0" w:space="0" w:color="auto"/>
      </w:divBdr>
    </w:div>
    <w:div w:id="564072803">
      <w:marLeft w:val="0"/>
      <w:marRight w:val="0"/>
      <w:marTop w:val="0"/>
      <w:marBottom w:val="0"/>
      <w:divBdr>
        <w:top w:val="none" w:sz="0" w:space="0" w:color="auto"/>
        <w:left w:val="none" w:sz="0" w:space="0" w:color="auto"/>
        <w:bottom w:val="none" w:sz="0" w:space="0" w:color="auto"/>
        <w:right w:val="none" w:sz="0" w:space="0" w:color="auto"/>
      </w:divBdr>
    </w:div>
    <w:div w:id="564072804">
      <w:marLeft w:val="0"/>
      <w:marRight w:val="0"/>
      <w:marTop w:val="0"/>
      <w:marBottom w:val="0"/>
      <w:divBdr>
        <w:top w:val="none" w:sz="0" w:space="0" w:color="auto"/>
        <w:left w:val="none" w:sz="0" w:space="0" w:color="auto"/>
        <w:bottom w:val="none" w:sz="0" w:space="0" w:color="auto"/>
        <w:right w:val="none" w:sz="0" w:space="0" w:color="auto"/>
      </w:divBdr>
    </w:div>
    <w:div w:id="564072805">
      <w:marLeft w:val="0"/>
      <w:marRight w:val="0"/>
      <w:marTop w:val="0"/>
      <w:marBottom w:val="0"/>
      <w:divBdr>
        <w:top w:val="none" w:sz="0" w:space="0" w:color="auto"/>
        <w:left w:val="none" w:sz="0" w:space="0" w:color="auto"/>
        <w:bottom w:val="none" w:sz="0" w:space="0" w:color="auto"/>
        <w:right w:val="none" w:sz="0" w:space="0" w:color="auto"/>
      </w:divBdr>
    </w:div>
    <w:div w:id="564072806">
      <w:marLeft w:val="0"/>
      <w:marRight w:val="0"/>
      <w:marTop w:val="0"/>
      <w:marBottom w:val="0"/>
      <w:divBdr>
        <w:top w:val="none" w:sz="0" w:space="0" w:color="auto"/>
        <w:left w:val="none" w:sz="0" w:space="0" w:color="auto"/>
        <w:bottom w:val="none" w:sz="0" w:space="0" w:color="auto"/>
        <w:right w:val="none" w:sz="0" w:space="0" w:color="auto"/>
      </w:divBdr>
    </w:div>
    <w:div w:id="564072807">
      <w:marLeft w:val="0"/>
      <w:marRight w:val="0"/>
      <w:marTop w:val="0"/>
      <w:marBottom w:val="0"/>
      <w:divBdr>
        <w:top w:val="none" w:sz="0" w:space="0" w:color="auto"/>
        <w:left w:val="none" w:sz="0" w:space="0" w:color="auto"/>
        <w:bottom w:val="none" w:sz="0" w:space="0" w:color="auto"/>
        <w:right w:val="none" w:sz="0" w:space="0" w:color="auto"/>
      </w:divBdr>
    </w:div>
    <w:div w:id="564072808">
      <w:marLeft w:val="0"/>
      <w:marRight w:val="0"/>
      <w:marTop w:val="0"/>
      <w:marBottom w:val="0"/>
      <w:divBdr>
        <w:top w:val="none" w:sz="0" w:space="0" w:color="auto"/>
        <w:left w:val="none" w:sz="0" w:space="0" w:color="auto"/>
        <w:bottom w:val="none" w:sz="0" w:space="0" w:color="auto"/>
        <w:right w:val="none" w:sz="0" w:space="0" w:color="auto"/>
      </w:divBdr>
    </w:div>
    <w:div w:id="564072809">
      <w:marLeft w:val="0"/>
      <w:marRight w:val="0"/>
      <w:marTop w:val="0"/>
      <w:marBottom w:val="0"/>
      <w:divBdr>
        <w:top w:val="none" w:sz="0" w:space="0" w:color="auto"/>
        <w:left w:val="none" w:sz="0" w:space="0" w:color="auto"/>
        <w:bottom w:val="none" w:sz="0" w:space="0" w:color="auto"/>
        <w:right w:val="none" w:sz="0" w:space="0" w:color="auto"/>
      </w:divBdr>
    </w:div>
    <w:div w:id="564072810">
      <w:marLeft w:val="0"/>
      <w:marRight w:val="0"/>
      <w:marTop w:val="0"/>
      <w:marBottom w:val="0"/>
      <w:divBdr>
        <w:top w:val="none" w:sz="0" w:space="0" w:color="auto"/>
        <w:left w:val="none" w:sz="0" w:space="0" w:color="auto"/>
        <w:bottom w:val="none" w:sz="0" w:space="0" w:color="auto"/>
        <w:right w:val="none" w:sz="0" w:space="0" w:color="auto"/>
      </w:divBdr>
    </w:div>
    <w:div w:id="564072811">
      <w:marLeft w:val="0"/>
      <w:marRight w:val="0"/>
      <w:marTop w:val="0"/>
      <w:marBottom w:val="0"/>
      <w:divBdr>
        <w:top w:val="none" w:sz="0" w:space="0" w:color="auto"/>
        <w:left w:val="none" w:sz="0" w:space="0" w:color="auto"/>
        <w:bottom w:val="none" w:sz="0" w:space="0" w:color="auto"/>
        <w:right w:val="none" w:sz="0" w:space="0" w:color="auto"/>
      </w:divBdr>
    </w:div>
    <w:div w:id="564072812">
      <w:marLeft w:val="0"/>
      <w:marRight w:val="0"/>
      <w:marTop w:val="0"/>
      <w:marBottom w:val="0"/>
      <w:divBdr>
        <w:top w:val="none" w:sz="0" w:space="0" w:color="auto"/>
        <w:left w:val="none" w:sz="0" w:space="0" w:color="auto"/>
        <w:bottom w:val="none" w:sz="0" w:space="0" w:color="auto"/>
        <w:right w:val="none" w:sz="0" w:space="0" w:color="auto"/>
      </w:divBdr>
    </w:div>
    <w:div w:id="564072813">
      <w:marLeft w:val="0"/>
      <w:marRight w:val="0"/>
      <w:marTop w:val="0"/>
      <w:marBottom w:val="0"/>
      <w:divBdr>
        <w:top w:val="none" w:sz="0" w:space="0" w:color="auto"/>
        <w:left w:val="none" w:sz="0" w:space="0" w:color="auto"/>
        <w:bottom w:val="none" w:sz="0" w:space="0" w:color="auto"/>
        <w:right w:val="none" w:sz="0" w:space="0" w:color="auto"/>
      </w:divBdr>
    </w:div>
    <w:div w:id="564072814">
      <w:marLeft w:val="0"/>
      <w:marRight w:val="0"/>
      <w:marTop w:val="0"/>
      <w:marBottom w:val="0"/>
      <w:divBdr>
        <w:top w:val="none" w:sz="0" w:space="0" w:color="auto"/>
        <w:left w:val="none" w:sz="0" w:space="0" w:color="auto"/>
        <w:bottom w:val="none" w:sz="0" w:space="0" w:color="auto"/>
        <w:right w:val="none" w:sz="0" w:space="0" w:color="auto"/>
      </w:divBdr>
    </w:div>
    <w:div w:id="564072815">
      <w:marLeft w:val="0"/>
      <w:marRight w:val="0"/>
      <w:marTop w:val="0"/>
      <w:marBottom w:val="0"/>
      <w:divBdr>
        <w:top w:val="none" w:sz="0" w:space="0" w:color="auto"/>
        <w:left w:val="none" w:sz="0" w:space="0" w:color="auto"/>
        <w:bottom w:val="none" w:sz="0" w:space="0" w:color="auto"/>
        <w:right w:val="none" w:sz="0" w:space="0" w:color="auto"/>
      </w:divBdr>
    </w:div>
    <w:div w:id="564072816">
      <w:marLeft w:val="0"/>
      <w:marRight w:val="0"/>
      <w:marTop w:val="0"/>
      <w:marBottom w:val="0"/>
      <w:divBdr>
        <w:top w:val="none" w:sz="0" w:space="0" w:color="auto"/>
        <w:left w:val="none" w:sz="0" w:space="0" w:color="auto"/>
        <w:bottom w:val="none" w:sz="0" w:space="0" w:color="auto"/>
        <w:right w:val="none" w:sz="0" w:space="0" w:color="auto"/>
      </w:divBdr>
    </w:div>
    <w:div w:id="564072817">
      <w:marLeft w:val="0"/>
      <w:marRight w:val="0"/>
      <w:marTop w:val="0"/>
      <w:marBottom w:val="0"/>
      <w:divBdr>
        <w:top w:val="none" w:sz="0" w:space="0" w:color="auto"/>
        <w:left w:val="none" w:sz="0" w:space="0" w:color="auto"/>
        <w:bottom w:val="none" w:sz="0" w:space="0" w:color="auto"/>
        <w:right w:val="none" w:sz="0" w:space="0" w:color="auto"/>
      </w:divBdr>
    </w:div>
    <w:div w:id="564072818">
      <w:marLeft w:val="0"/>
      <w:marRight w:val="0"/>
      <w:marTop w:val="0"/>
      <w:marBottom w:val="0"/>
      <w:divBdr>
        <w:top w:val="none" w:sz="0" w:space="0" w:color="auto"/>
        <w:left w:val="none" w:sz="0" w:space="0" w:color="auto"/>
        <w:bottom w:val="none" w:sz="0" w:space="0" w:color="auto"/>
        <w:right w:val="none" w:sz="0" w:space="0" w:color="auto"/>
      </w:divBdr>
    </w:div>
    <w:div w:id="564072819">
      <w:marLeft w:val="0"/>
      <w:marRight w:val="0"/>
      <w:marTop w:val="0"/>
      <w:marBottom w:val="0"/>
      <w:divBdr>
        <w:top w:val="none" w:sz="0" w:space="0" w:color="auto"/>
        <w:left w:val="none" w:sz="0" w:space="0" w:color="auto"/>
        <w:bottom w:val="none" w:sz="0" w:space="0" w:color="auto"/>
        <w:right w:val="none" w:sz="0" w:space="0" w:color="auto"/>
      </w:divBdr>
    </w:div>
    <w:div w:id="564072820">
      <w:marLeft w:val="0"/>
      <w:marRight w:val="0"/>
      <w:marTop w:val="0"/>
      <w:marBottom w:val="0"/>
      <w:divBdr>
        <w:top w:val="none" w:sz="0" w:space="0" w:color="auto"/>
        <w:left w:val="none" w:sz="0" w:space="0" w:color="auto"/>
        <w:bottom w:val="none" w:sz="0" w:space="0" w:color="auto"/>
        <w:right w:val="none" w:sz="0" w:space="0" w:color="auto"/>
      </w:divBdr>
    </w:div>
    <w:div w:id="564072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3618</Words>
  <Characters>20627</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24197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4</cp:revision>
  <cp:lastPrinted>2012-09-26T03:39:00Z</cp:lastPrinted>
  <dcterms:created xsi:type="dcterms:W3CDTF">2013-01-16T19:35:00Z</dcterms:created>
  <dcterms:modified xsi:type="dcterms:W3CDTF">2013-01-16T19:42:00Z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